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77FF8A4C" w:rsidR="00E203C2" w:rsidRDefault="00E203C2" w:rsidP="00E203C2">
      <w:r>
        <w:rPr>
          <w:noProof/>
          <w:lang w:eastAsia="en-GB" w:bidi="ar-SA"/>
        </w:rPr>
        <w:drawing>
          <wp:inline distT="0" distB="0" distL="0" distR="0" wp14:anchorId="4A2E7454" wp14:editId="216987F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0F851E2" w14:textId="13F58B56" w:rsidR="00CA641D" w:rsidRPr="0021656E" w:rsidRDefault="0021656E" w:rsidP="00CA641D">
      <w:pPr>
        <w:rPr>
          <w:b/>
          <w:sz w:val="28"/>
          <w:szCs w:val="28"/>
        </w:rPr>
      </w:pPr>
      <w:r w:rsidRPr="0021656E">
        <w:rPr>
          <w:b/>
          <w:sz w:val="28"/>
          <w:szCs w:val="28"/>
        </w:rPr>
        <w:t>27 June 2019</w:t>
      </w:r>
    </w:p>
    <w:p w14:paraId="716A0F35" w14:textId="7D0D88B5" w:rsidR="00CA641D" w:rsidRPr="0021656E" w:rsidRDefault="0021656E" w:rsidP="00CA641D">
      <w:pPr>
        <w:rPr>
          <w:b/>
          <w:sz w:val="28"/>
          <w:szCs w:val="28"/>
        </w:rPr>
      </w:pPr>
      <w:r w:rsidRPr="0021656E">
        <w:rPr>
          <w:b/>
          <w:sz w:val="28"/>
          <w:szCs w:val="28"/>
        </w:rPr>
        <w:t>[85-19</w:t>
      </w:r>
      <w:r w:rsidR="00CA641D" w:rsidRPr="0021656E">
        <w:rPr>
          <w:b/>
          <w:sz w:val="28"/>
          <w:szCs w:val="28"/>
        </w:rPr>
        <w:t>]</w:t>
      </w:r>
      <w:bookmarkStart w:id="0" w:name="_GoBack"/>
      <w:bookmarkEnd w:id="0"/>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397AA374"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rsidR="00130CBE">
        <w:t>60</w:t>
      </w:r>
    </w:p>
    <w:p w14:paraId="1E09FD7A" w14:textId="77777777" w:rsidR="00AF0509" w:rsidRDefault="00AF0509" w:rsidP="00AF0509">
      <w:pPr>
        <w:pStyle w:val="FSTitle"/>
      </w:pPr>
      <w:r w:rsidRPr="00C709B3">
        <w:t xml:space="preserve"> </w:t>
      </w:r>
    </w:p>
    <w:p w14:paraId="004DEE3E" w14:textId="522458B7" w:rsidR="00AF0509" w:rsidRPr="00C709B3" w:rsidRDefault="00130CBE" w:rsidP="00AF0509">
      <w:pPr>
        <w:pStyle w:val="FSTitle"/>
        <w:spacing w:line="360" w:lineRule="auto"/>
      </w:pPr>
      <w:r w:rsidRPr="00130CBE">
        <w:t xml:space="preserve">Aspergillopepsin I from </w:t>
      </w:r>
      <w:r w:rsidRPr="00D90ACA">
        <w:rPr>
          <w:i/>
        </w:rPr>
        <w:t>Trichoderma reesei</w:t>
      </w:r>
      <w:r w:rsidRPr="00130CBE">
        <w:t xml:space="preserve"> as a processing aid (enzyme)</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533087501"/>
      <w:bookmarkStart w:id="4" w:name="_Toc534297194"/>
      <w:r w:rsidRPr="00092CDA">
        <w:t xml:space="preserve">Executive </w:t>
      </w:r>
      <w:r w:rsidR="00B12F1E">
        <w:t>s</w:t>
      </w:r>
      <w:r w:rsidRPr="00092CDA">
        <w:t>ummary</w:t>
      </w:r>
      <w:bookmarkEnd w:id="1"/>
      <w:bookmarkEnd w:id="2"/>
      <w:bookmarkEnd w:id="3"/>
      <w:bookmarkEnd w:id="4"/>
    </w:p>
    <w:p w14:paraId="2BB7C5DE" w14:textId="3945D559" w:rsidR="00377A6B" w:rsidRDefault="006D6ECE" w:rsidP="006D6ECE">
      <w:pPr>
        <w:rPr>
          <w:lang w:bidi="ar-SA"/>
        </w:rPr>
      </w:pPr>
      <w:r w:rsidRPr="002540C6">
        <w:rPr>
          <w:lang w:bidi="ar-SA"/>
        </w:rPr>
        <w:t>DuPont Australia Pty Ltd submitted an application to Food Standards Australia New Zealand (FSANZ) seeking to permit the use of</w:t>
      </w:r>
      <w:r w:rsidRPr="002540C6">
        <w:rPr>
          <w:lang w:val="en-AU" w:bidi="ar-SA"/>
        </w:rPr>
        <w:t xml:space="preserve"> the enzyme </w:t>
      </w:r>
      <w:r w:rsidR="008B6B30">
        <w:rPr>
          <w:lang w:bidi="ar-SA"/>
        </w:rPr>
        <w:t>Aspergillopepsin I</w:t>
      </w:r>
      <w:r w:rsidRPr="002540C6">
        <w:rPr>
          <w:lang w:val="en-AU" w:bidi="ar-SA"/>
        </w:rPr>
        <w:t xml:space="preserve"> (EC </w:t>
      </w:r>
      <w:r w:rsidRPr="006D6ECE">
        <w:rPr>
          <w:lang w:val="en-AU" w:bidi="ar-SA"/>
        </w:rPr>
        <w:t>3.4.23.18</w:t>
      </w:r>
      <w:r w:rsidRPr="002540C6">
        <w:rPr>
          <w:lang w:val="en-AU" w:bidi="ar-SA"/>
        </w:rPr>
        <w:t>)</w:t>
      </w:r>
      <w:r w:rsidR="00377A6B">
        <w:rPr>
          <w:lang w:val="en-AU" w:bidi="ar-SA"/>
        </w:rPr>
        <w:t xml:space="preserve"> as a processing aid</w:t>
      </w:r>
      <w:r>
        <w:rPr>
          <w:lang w:val="en-AU" w:bidi="ar-SA"/>
        </w:rPr>
        <w:t>.</w:t>
      </w:r>
      <w:r w:rsidRPr="002540C6">
        <w:rPr>
          <w:lang w:val="en-AU" w:bidi="ar-SA"/>
        </w:rPr>
        <w:t xml:space="preserve"> </w:t>
      </w:r>
      <w:r w:rsidRPr="002540C6">
        <w:rPr>
          <w:lang w:bidi="ar-SA"/>
        </w:rPr>
        <w:t xml:space="preserve">The </w:t>
      </w:r>
      <w:r w:rsidR="00140648">
        <w:rPr>
          <w:lang w:bidi="ar-SA"/>
        </w:rPr>
        <w:t xml:space="preserve">commercial </w:t>
      </w:r>
      <w:r w:rsidRPr="002540C6">
        <w:rPr>
          <w:lang w:bidi="ar-SA"/>
        </w:rPr>
        <w:t>enzyme</w:t>
      </w:r>
      <w:r w:rsidR="00140648">
        <w:rPr>
          <w:lang w:bidi="ar-SA"/>
        </w:rPr>
        <w:t xml:space="preserve"> preparation</w:t>
      </w:r>
      <w:r w:rsidR="0024398C">
        <w:rPr>
          <w:lang w:bidi="ar-SA"/>
        </w:rPr>
        <w:t xml:space="preserve">, </w:t>
      </w:r>
      <w:r w:rsidR="0024398C" w:rsidRPr="0024398C">
        <w:rPr>
          <w:lang w:bidi="ar-SA"/>
        </w:rPr>
        <w:t>designated as Acid Fungal Protease (AFP)</w:t>
      </w:r>
      <w:r w:rsidR="0024398C">
        <w:rPr>
          <w:lang w:bidi="ar-SA"/>
        </w:rPr>
        <w:t>,</w:t>
      </w:r>
      <w:r w:rsidRPr="002540C6">
        <w:rPr>
          <w:lang w:bidi="ar-SA"/>
        </w:rPr>
        <w:t xml:space="preserve"> is derived from a genetically modified strain of </w:t>
      </w:r>
      <w:r w:rsidRPr="006D6ECE">
        <w:rPr>
          <w:i/>
          <w:lang w:bidi="ar-SA"/>
        </w:rPr>
        <w:t xml:space="preserve">Trichoderma reesei </w:t>
      </w:r>
      <w:r w:rsidR="003C3475">
        <w:rPr>
          <w:lang w:bidi="ar-SA"/>
        </w:rPr>
        <w:t>overexpress</w:t>
      </w:r>
      <w:r w:rsidRPr="002540C6">
        <w:rPr>
          <w:lang w:bidi="ar-SA"/>
        </w:rPr>
        <w:t xml:space="preserve">ing the </w:t>
      </w:r>
      <w:r w:rsidR="003C3475">
        <w:rPr>
          <w:lang w:bidi="ar-SA"/>
        </w:rPr>
        <w:t xml:space="preserve">gene encoding a native </w:t>
      </w:r>
      <w:r w:rsidR="008B6B30">
        <w:rPr>
          <w:lang w:bidi="ar-SA"/>
        </w:rPr>
        <w:t>Aspergillopepsin I</w:t>
      </w:r>
      <w:r w:rsidRPr="002540C6">
        <w:rPr>
          <w:i/>
          <w:lang w:bidi="ar-SA"/>
        </w:rPr>
        <w:t>.</w:t>
      </w:r>
      <w:r w:rsidR="008F78BE">
        <w:rPr>
          <w:lang w:bidi="ar-SA"/>
        </w:rPr>
        <w:t xml:space="preserve"> </w:t>
      </w:r>
    </w:p>
    <w:p w14:paraId="73694D65" w14:textId="77777777" w:rsidR="00377A6B" w:rsidRDefault="00377A6B" w:rsidP="006D6ECE">
      <w:pPr>
        <w:rPr>
          <w:lang w:bidi="ar-SA"/>
        </w:rPr>
      </w:pPr>
    </w:p>
    <w:p w14:paraId="421F8264" w14:textId="1BCB0090" w:rsidR="006D6ECE" w:rsidRPr="008F78BE" w:rsidRDefault="00377A6B" w:rsidP="006D6ECE">
      <w:pPr>
        <w:rPr>
          <w:lang w:bidi="ar-SA"/>
        </w:rPr>
      </w:pPr>
      <w:r>
        <w:rPr>
          <w:lang w:bidi="ar-SA"/>
        </w:rPr>
        <w:t xml:space="preserve">The purpose of </w:t>
      </w:r>
      <w:r w:rsidR="0024398C">
        <w:rPr>
          <w:lang w:bidi="ar-SA"/>
        </w:rPr>
        <w:t>AFP</w:t>
      </w:r>
      <w:r>
        <w:rPr>
          <w:lang w:bidi="ar-SA"/>
        </w:rPr>
        <w:t xml:space="preserve"> </w:t>
      </w:r>
      <w:r w:rsidR="00933450">
        <w:rPr>
          <w:lang w:bidi="ar-SA"/>
        </w:rPr>
        <w:t>is to hyd</w:t>
      </w:r>
      <w:r w:rsidR="001F1CD6">
        <w:rPr>
          <w:lang w:bidi="ar-SA"/>
        </w:rPr>
        <w:t>r</w:t>
      </w:r>
      <w:r w:rsidR="00933450">
        <w:rPr>
          <w:lang w:bidi="ar-SA"/>
        </w:rPr>
        <w:t>olyse proteins into peptides in the manufacture of</w:t>
      </w:r>
      <w:r w:rsidR="004A6A98" w:rsidRPr="004A6A98">
        <w:rPr>
          <w:lang w:bidi="ar-SA"/>
        </w:rPr>
        <w:t xml:space="preserve"> </w:t>
      </w:r>
      <w:r w:rsidR="004A6A98">
        <w:rPr>
          <w:lang w:bidi="ar-SA"/>
        </w:rPr>
        <w:t>potable alcohol and animal and vegetable protein products</w:t>
      </w:r>
      <w:r w:rsidR="004A6A98" w:rsidRPr="004A6A98">
        <w:rPr>
          <w:lang w:bidi="ar-SA"/>
        </w:rPr>
        <w:t>.</w:t>
      </w:r>
    </w:p>
    <w:p w14:paraId="5944B0D0" w14:textId="29724A59" w:rsidR="00C37054" w:rsidRDefault="00C37054" w:rsidP="00690206"/>
    <w:p w14:paraId="10B9734D" w14:textId="191A5A29" w:rsidR="004A6A98" w:rsidRDefault="00933450" w:rsidP="004A6A98">
      <w:pPr>
        <w:rPr>
          <w:lang w:bidi="ar-SA"/>
        </w:rPr>
      </w:pPr>
      <w:r>
        <w:t xml:space="preserve">The food technology assessment concluded that </w:t>
      </w:r>
      <w:r w:rsidR="0024398C">
        <w:t>AFP</w:t>
      </w:r>
      <w:r w:rsidRPr="00222AFC">
        <w:t>, in the form and prescribed amounts, is technologically justified and has been demonstrated to be effective in achieving its stated purpose.</w:t>
      </w:r>
      <w:r w:rsidRPr="00C37054">
        <w:t xml:space="preserve"> </w:t>
      </w:r>
      <w:r w:rsidR="0024398C">
        <w:t xml:space="preserve">AFP </w:t>
      </w:r>
      <w:r w:rsidR="004A6A98" w:rsidRPr="003E1E7D">
        <w:rPr>
          <w:lang w:bidi="ar-SA"/>
        </w:rPr>
        <w:t>performs its technological purpose during production and manufacture of foods and is therefore appropriately categorised as a processing aid. The enzyme preparation meets international purity specifications.</w:t>
      </w:r>
    </w:p>
    <w:p w14:paraId="090E1178" w14:textId="7A00F7A9" w:rsidR="003646AE" w:rsidRDefault="003646AE" w:rsidP="004A6A98">
      <w:pPr>
        <w:rPr>
          <w:lang w:bidi="ar-SA"/>
        </w:rPr>
      </w:pPr>
    </w:p>
    <w:p w14:paraId="122A1439" w14:textId="0208776E" w:rsidR="0007321E" w:rsidRDefault="0007321E" w:rsidP="004A6A98">
      <w:pPr>
        <w:rPr>
          <w:lang w:bidi="ar-SA"/>
        </w:rPr>
      </w:pPr>
      <w:r w:rsidRPr="0007321E">
        <w:rPr>
          <w:lang w:bidi="ar-SA"/>
        </w:rPr>
        <w:t xml:space="preserve">No public health and safety concerns associated with the use of AFP from genetically modified </w:t>
      </w:r>
      <w:r w:rsidRPr="0007321E">
        <w:rPr>
          <w:i/>
          <w:lang w:bidi="ar-SA"/>
        </w:rPr>
        <w:t>T. reesei</w:t>
      </w:r>
      <w:r w:rsidRPr="0007321E">
        <w:rPr>
          <w:lang w:bidi="ar-SA"/>
        </w:rPr>
        <w:t xml:space="preserve"> were identified as a result of </w:t>
      </w:r>
      <w:r w:rsidR="008F5D0C" w:rsidRPr="0007321E">
        <w:rPr>
          <w:lang w:bidi="ar-SA"/>
        </w:rPr>
        <w:t>th</w:t>
      </w:r>
      <w:r w:rsidR="008F5D0C">
        <w:rPr>
          <w:lang w:bidi="ar-SA"/>
        </w:rPr>
        <w:t>e</w:t>
      </w:r>
      <w:r w:rsidR="008F5D0C" w:rsidRPr="0007321E">
        <w:rPr>
          <w:lang w:bidi="ar-SA"/>
        </w:rPr>
        <w:t xml:space="preserve"> </w:t>
      </w:r>
      <w:r w:rsidRPr="0007321E">
        <w:rPr>
          <w:lang w:bidi="ar-SA"/>
        </w:rPr>
        <w:t>hazard assessment.</w:t>
      </w:r>
    </w:p>
    <w:p w14:paraId="45B358AD" w14:textId="77777777" w:rsidR="0007321E" w:rsidRDefault="0007321E" w:rsidP="004A6A98">
      <w:pPr>
        <w:rPr>
          <w:lang w:bidi="ar-SA"/>
        </w:rPr>
      </w:pPr>
    </w:p>
    <w:p w14:paraId="4482713C" w14:textId="52C385A6" w:rsidR="00ED7DAC" w:rsidRDefault="00FC1DB4" w:rsidP="00ED7DAC">
      <w:pPr>
        <w:rPr>
          <w:lang w:bidi="ar-SA"/>
        </w:rPr>
      </w:pPr>
      <w:r w:rsidRPr="00FC1DB4">
        <w:rPr>
          <w:i/>
          <w:lang w:bidi="ar-SA"/>
        </w:rPr>
        <w:t>T. reesei</w:t>
      </w:r>
      <w:r w:rsidRPr="00FC1DB4">
        <w:rPr>
          <w:lang w:bidi="ar-SA"/>
        </w:rPr>
        <w:t xml:space="preserve"> has a long history of safe use in the </w:t>
      </w:r>
      <w:r w:rsidR="00B85557">
        <w:rPr>
          <w:lang w:bidi="ar-SA"/>
        </w:rPr>
        <w:t>source</w:t>
      </w:r>
      <w:r w:rsidR="00EC500C">
        <w:rPr>
          <w:lang w:bidi="ar-SA"/>
        </w:rPr>
        <w:t xml:space="preserve"> </w:t>
      </w:r>
      <w:r w:rsidRPr="00FC1DB4">
        <w:rPr>
          <w:lang w:bidi="ar-SA"/>
        </w:rPr>
        <w:t>of enzyme processing aids, including several that are already permitted in the Code.</w:t>
      </w:r>
      <w:r w:rsidR="00BE06D9">
        <w:rPr>
          <w:lang w:bidi="ar-SA"/>
        </w:rPr>
        <w:t xml:space="preserve"> </w:t>
      </w:r>
      <w:r w:rsidR="001457F6" w:rsidRPr="004E38D4">
        <w:rPr>
          <w:lang w:val="en-AU"/>
        </w:rPr>
        <w:t>This fungus is not toxigenic or pathogenic.</w:t>
      </w:r>
      <w:r w:rsidR="001457F6">
        <w:rPr>
          <w:lang w:val="en-AU"/>
        </w:rPr>
        <w:t xml:space="preserve"> </w:t>
      </w:r>
      <w:r w:rsidR="003646AE">
        <w:rPr>
          <w:lang w:bidi="ar-SA"/>
        </w:rPr>
        <w:t>N</w:t>
      </w:r>
      <w:r w:rsidR="00ED7DAC">
        <w:rPr>
          <w:lang w:bidi="ar-SA"/>
        </w:rPr>
        <w:t>o extraneous coding genetic material is carried across from the donor organism or through the large number of steps leading to the final genetic modification. The modification involving the insertion of the Aspergillopepsin I gene has been shown to be stably inherited.</w:t>
      </w:r>
    </w:p>
    <w:p w14:paraId="272A48A6" w14:textId="53EBD0EA" w:rsidR="00161F43" w:rsidRDefault="00161F43" w:rsidP="00ED7DAC">
      <w:pPr>
        <w:rPr>
          <w:lang w:bidi="ar-SA"/>
        </w:rPr>
      </w:pPr>
    </w:p>
    <w:p w14:paraId="46A39D00" w14:textId="1F79BA38" w:rsidR="002440F5" w:rsidRDefault="0007321E" w:rsidP="00F934EB">
      <w:pPr>
        <w:rPr>
          <w:lang w:bidi="ar-SA"/>
        </w:rPr>
      </w:pPr>
      <w:r w:rsidRPr="0007321E">
        <w:rPr>
          <w:lang w:bidi="ar-SA"/>
        </w:rPr>
        <w:t>There is no evidence of adverse health effects associated with the use of AFP in countries in which it is already approved including</w:t>
      </w:r>
      <w:r w:rsidR="00A83E03">
        <w:rPr>
          <w:lang w:bidi="ar-SA"/>
        </w:rPr>
        <w:t xml:space="preserve"> in</w:t>
      </w:r>
      <w:r w:rsidRPr="0007321E">
        <w:rPr>
          <w:lang w:bidi="ar-SA"/>
        </w:rPr>
        <w:t xml:space="preserve"> Europe and North America.</w:t>
      </w:r>
      <w:r w:rsidR="00BE06D9">
        <w:rPr>
          <w:lang w:bidi="ar-SA"/>
        </w:rPr>
        <w:t xml:space="preserve"> </w:t>
      </w:r>
      <w:r w:rsidR="00ED7DAC">
        <w:rPr>
          <w:lang w:bidi="ar-SA"/>
        </w:rPr>
        <w:t xml:space="preserve">Bioinformatic searches did not indicate homology with known toxins or </w:t>
      </w:r>
      <w:r w:rsidR="002440F5">
        <w:rPr>
          <w:lang w:bidi="ar-SA"/>
        </w:rPr>
        <w:t xml:space="preserve">food </w:t>
      </w:r>
      <w:r w:rsidR="00ED7DAC">
        <w:rPr>
          <w:lang w:bidi="ar-SA"/>
        </w:rPr>
        <w:t xml:space="preserve">allergens. </w:t>
      </w:r>
      <w:r w:rsidR="00ED7DAC" w:rsidRPr="002440F5">
        <w:rPr>
          <w:i/>
          <w:lang w:bidi="ar-SA"/>
        </w:rPr>
        <w:t>In vitro</w:t>
      </w:r>
      <w:r w:rsidR="00ED7DAC">
        <w:rPr>
          <w:lang w:bidi="ar-SA"/>
        </w:rPr>
        <w:t xml:space="preserve"> incubation of AFP in simulated gastric fluid indicates that AFP is digested, and degraded to small protein fragments, within 30 minutes of incubation at body temperature. </w:t>
      </w:r>
      <w:r w:rsidR="003646AE">
        <w:rPr>
          <w:lang w:bidi="ar-SA"/>
        </w:rPr>
        <w:t>Therefore it is anticipated that AFP will be digested like other dietary proteins.</w:t>
      </w:r>
    </w:p>
    <w:p w14:paraId="09BDE8EB" w14:textId="12E4150B" w:rsidR="00225167" w:rsidRDefault="00225167" w:rsidP="00ED7DAC">
      <w:pPr>
        <w:rPr>
          <w:lang w:bidi="ar-SA"/>
        </w:rPr>
      </w:pPr>
    </w:p>
    <w:p w14:paraId="3DACBE4A" w14:textId="31A4039A" w:rsidR="00ED7DAC" w:rsidRDefault="00ED7DAC" w:rsidP="00ED7DAC">
      <w:pPr>
        <w:rPr>
          <w:lang w:bidi="ar-SA"/>
        </w:rPr>
      </w:pPr>
      <w:r>
        <w:rPr>
          <w:lang w:bidi="ar-SA"/>
        </w:rPr>
        <w:lastRenderedPageBreak/>
        <w:t>No major allergens are used directly in the preparation of the enzyme, although glucose used in the fermentation medium is derived from wheat. The possibility that traces of wheat protein may be present in the final preparation cannot be excluded.</w:t>
      </w:r>
    </w:p>
    <w:p w14:paraId="76DDCC0B" w14:textId="328900A9" w:rsidR="00F934EB" w:rsidRDefault="00F934EB" w:rsidP="00ED7DAC">
      <w:pPr>
        <w:rPr>
          <w:lang w:bidi="ar-SA"/>
        </w:rPr>
      </w:pPr>
    </w:p>
    <w:p w14:paraId="1FE91F55" w14:textId="7BABAD23" w:rsidR="00092CDA" w:rsidRDefault="00ED7DAC" w:rsidP="00690206">
      <w:r>
        <w:rPr>
          <w:lang w:bidi="ar-SA"/>
        </w:rPr>
        <w:t>Based on the reviewed toxicological data, it is concluded that in the absence of any identifiable hazard to health and safety of the general population, an Acceptable Daily Intake (ADI) ‘not specified’ is appropriate. A dietary exposure assessment is therefore not required.</w:t>
      </w:r>
    </w:p>
    <w:p w14:paraId="4D63BF45" w14:textId="3CB6303D" w:rsidR="00092CDA" w:rsidRDefault="00092CDA" w:rsidP="00690206"/>
    <w:p w14:paraId="34655F8A" w14:textId="77777777" w:rsidR="003D6AFE" w:rsidRDefault="003D6AFE" w:rsidP="00690206">
      <w:pPr>
        <w:sectPr w:rsidR="003D6AFE"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5AA9D9E" w14:textId="1BA32C36" w:rsidR="00D2459D"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34297194" w:history="1">
        <w:r w:rsidR="00D2459D" w:rsidRPr="00106B47">
          <w:rPr>
            <w:rStyle w:val="Hyperlink"/>
            <w:noProof/>
          </w:rPr>
          <w:t>Executive summary</w:t>
        </w:r>
        <w:r w:rsidR="00D2459D">
          <w:rPr>
            <w:noProof/>
            <w:webHidden/>
          </w:rPr>
          <w:tab/>
        </w:r>
        <w:r w:rsidR="00D2459D">
          <w:rPr>
            <w:noProof/>
            <w:webHidden/>
          </w:rPr>
          <w:fldChar w:fldCharType="begin"/>
        </w:r>
        <w:r w:rsidR="00D2459D">
          <w:rPr>
            <w:noProof/>
            <w:webHidden/>
          </w:rPr>
          <w:instrText xml:space="preserve"> PAGEREF _Toc534297194 \h </w:instrText>
        </w:r>
        <w:r w:rsidR="00D2459D">
          <w:rPr>
            <w:noProof/>
            <w:webHidden/>
          </w:rPr>
        </w:r>
        <w:r w:rsidR="00D2459D">
          <w:rPr>
            <w:noProof/>
            <w:webHidden/>
          </w:rPr>
          <w:fldChar w:fldCharType="separate"/>
        </w:r>
        <w:r w:rsidR="00377A6B">
          <w:rPr>
            <w:noProof/>
            <w:webHidden/>
          </w:rPr>
          <w:t>i</w:t>
        </w:r>
        <w:r w:rsidR="00D2459D">
          <w:rPr>
            <w:noProof/>
            <w:webHidden/>
          </w:rPr>
          <w:fldChar w:fldCharType="end"/>
        </w:r>
      </w:hyperlink>
    </w:p>
    <w:p w14:paraId="6D6D7C01" w14:textId="060EF8C2" w:rsidR="00D2459D" w:rsidRDefault="002165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4297195" w:history="1">
        <w:r w:rsidR="00D2459D" w:rsidRPr="00106B47">
          <w:rPr>
            <w:rStyle w:val="Hyperlink"/>
            <w:noProof/>
          </w:rPr>
          <w:t xml:space="preserve">1 </w:t>
        </w:r>
        <w:r w:rsidR="00D2459D">
          <w:rPr>
            <w:rFonts w:eastAsiaTheme="minorEastAsia" w:cstheme="minorBidi"/>
            <w:b w:val="0"/>
            <w:bCs w:val="0"/>
            <w:caps w:val="0"/>
            <w:noProof/>
            <w:sz w:val="22"/>
            <w:szCs w:val="22"/>
            <w:lang w:eastAsia="en-GB" w:bidi="ar-SA"/>
          </w:rPr>
          <w:tab/>
        </w:r>
        <w:r w:rsidR="00D2459D" w:rsidRPr="00106B47">
          <w:rPr>
            <w:rStyle w:val="Hyperlink"/>
            <w:noProof/>
          </w:rPr>
          <w:t>Introduction</w:t>
        </w:r>
        <w:r w:rsidR="00D2459D">
          <w:rPr>
            <w:noProof/>
            <w:webHidden/>
          </w:rPr>
          <w:tab/>
        </w:r>
        <w:r w:rsidR="00D2459D">
          <w:rPr>
            <w:noProof/>
            <w:webHidden/>
          </w:rPr>
          <w:fldChar w:fldCharType="begin"/>
        </w:r>
        <w:r w:rsidR="00D2459D">
          <w:rPr>
            <w:noProof/>
            <w:webHidden/>
          </w:rPr>
          <w:instrText xml:space="preserve"> PAGEREF _Toc534297195 \h </w:instrText>
        </w:r>
        <w:r w:rsidR="00D2459D">
          <w:rPr>
            <w:noProof/>
            <w:webHidden/>
          </w:rPr>
        </w:r>
        <w:r w:rsidR="00D2459D">
          <w:rPr>
            <w:noProof/>
            <w:webHidden/>
          </w:rPr>
          <w:fldChar w:fldCharType="separate"/>
        </w:r>
        <w:r w:rsidR="00377A6B">
          <w:rPr>
            <w:noProof/>
            <w:webHidden/>
          </w:rPr>
          <w:t>2</w:t>
        </w:r>
        <w:r w:rsidR="00D2459D">
          <w:rPr>
            <w:noProof/>
            <w:webHidden/>
          </w:rPr>
          <w:fldChar w:fldCharType="end"/>
        </w:r>
      </w:hyperlink>
    </w:p>
    <w:p w14:paraId="1C3B28C1" w14:textId="0232B9CD" w:rsidR="00D2459D" w:rsidRDefault="0021656E">
      <w:pPr>
        <w:pStyle w:val="TOC2"/>
        <w:tabs>
          <w:tab w:val="left" w:pos="880"/>
          <w:tab w:val="right" w:leader="dot" w:pos="9060"/>
        </w:tabs>
        <w:rPr>
          <w:rFonts w:eastAsiaTheme="minorEastAsia" w:cstheme="minorBidi"/>
          <w:smallCaps w:val="0"/>
          <w:noProof/>
          <w:sz w:val="22"/>
          <w:szCs w:val="22"/>
          <w:lang w:eastAsia="en-GB" w:bidi="ar-SA"/>
        </w:rPr>
      </w:pPr>
      <w:hyperlink w:anchor="_Toc534297196" w:history="1">
        <w:r w:rsidR="00D2459D" w:rsidRPr="00106B47">
          <w:rPr>
            <w:rStyle w:val="Hyperlink"/>
            <w:noProof/>
          </w:rPr>
          <w:t>1.1</w:t>
        </w:r>
        <w:r w:rsidR="00D2459D">
          <w:rPr>
            <w:rFonts w:eastAsiaTheme="minorEastAsia" w:cstheme="minorBidi"/>
            <w:smallCaps w:val="0"/>
            <w:noProof/>
            <w:sz w:val="22"/>
            <w:szCs w:val="22"/>
            <w:lang w:eastAsia="en-GB" w:bidi="ar-SA"/>
          </w:rPr>
          <w:tab/>
        </w:r>
        <w:r w:rsidR="00D2459D" w:rsidRPr="00106B47">
          <w:rPr>
            <w:rStyle w:val="Hyperlink"/>
            <w:noProof/>
          </w:rPr>
          <w:t>Objectives of the assessment</w:t>
        </w:r>
        <w:r w:rsidR="00D2459D">
          <w:rPr>
            <w:noProof/>
            <w:webHidden/>
          </w:rPr>
          <w:tab/>
        </w:r>
        <w:r w:rsidR="00D2459D">
          <w:rPr>
            <w:noProof/>
            <w:webHidden/>
          </w:rPr>
          <w:fldChar w:fldCharType="begin"/>
        </w:r>
        <w:r w:rsidR="00D2459D">
          <w:rPr>
            <w:noProof/>
            <w:webHidden/>
          </w:rPr>
          <w:instrText xml:space="preserve"> PAGEREF _Toc534297196 \h </w:instrText>
        </w:r>
        <w:r w:rsidR="00D2459D">
          <w:rPr>
            <w:noProof/>
            <w:webHidden/>
          </w:rPr>
        </w:r>
        <w:r w:rsidR="00D2459D">
          <w:rPr>
            <w:noProof/>
            <w:webHidden/>
          </w:rPr>
          <w:fldChar w:fldCharType="separate"/>
        </w:r>
        <w:r w:rsidR="00377A6B">
          <w:rPr>
            <w:noProof/>
            <w:webHidden/>
          </w:rPr>
          <w:t>2</w:t>
        </w:r>
        <w:r w:rsidR="00D2459D">
          <w:rPr>
            <w:noProof/>
            <w:webHidden/>
          </w:rPr>
          <w:fldChar w:fldCharType="end"/>
        </w:r>
      </w:hyperlink>
    </w:p>
    <w:p w14:paraId="2497274B" w14:textId="1F5E1AA9" w:rsidR="00D2459D" w:rsidRDefault="002165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4297197" w:history="1">
        <w:r w:rsidR="00D2459D" w:rsidRPr="00106B47">
          <w:rPr>
            <w:rStyle w:val="Hyperlink"/>
            <w:noProof/>
          </w:rPr>
          <w:t>2</w:t>
        </w:r>
        <w:r w:rsidR="00D2459D">
          <w:rPr>
            <w:rFonts w:eastAsiaTheme="minorEastAsia" w:cstheme="minorBidi"/>
            <w:b w:val="0"/>
            <w:bCs w:val="0"/>
            <w:caps w:val="0"/>
            <w:noProof/>
            <w:sz w:val="22"/>
            <w:szCs w:val="22"/>
            <w:lang w:eastAsia="en-GB" w:bidi="ar-SA"/>
          </w:rPr>
          <w:tab/>
        </w:r>
        <w:r w:rsidR="00D2459D" w:rsidRPr="00106B47">
          <w:rPr>
            <w:rStyle w:val="Hyperlink"/>
            <w:noProof/>
          </w:rPr>
          <w:t>Food technology assessment</w:t>
        </w:r>
        <w:r w:rsidR="00D2459D">
          <w:rPr>
            <w:noProof/>
            <w:webHidden/>
          </w:rPr>
          <w:tab/>
        </w:r>
        <w:r w:rsidR="00D2459D">
          <w:rPr>
            <w:noProof/>
            <w:webHidden/>
          </w:rPr>
          <w:fldChar w:fldCharType="begin"/>
        </w:r>
        <w:r w:rsidR="00D2459D">
          <w:rPr>
            <w:noProof/>
            <w:webHidden/>
          </w:rPr>
          <w:instrText xml:space="preserve"> PAGEREF _Toc534297197 \h </w:instrText>
        </w:r>
        <w:r w:rsidR="00D2459D">
          <w:rPr>
            <w:noProof/>
            <w:webHidden/>
          </w:rPr>
        </w:r>
        <w:r w:rsidR="00D2459D">
          <w:rPr>
            <w:noProof/>
            <w:webHidden/>
          </w:rPr>
          <w:fldChar w:fldCharType="separate"/>
        </w:r>
        <w:r w:rsidR="00377A6B">
          <w:rPr>
            <w:noProof/>
            <w:webHidden/>
          </w:rPr>
          <w:t>2</w:t>
        </w:r>
        <w:r w:rsidR="00D2459D">
          <w:rPr>
            <w:noProof/>
            <w:webHidden/>
          </w:rPr>
          <w:fldChar w:fldCharType="end"/>
        </w:r>
      </w:hyperlink>
    </w:p>
    <w:p w14:paraId="55CB1E0B" w14:textId="1FEDB28B" w:rsidR="00D2459D" w:rsidRDefault="0021656E">
      <w:pPr>
        <w:pStyle w:val="TOC2"/>
        <w:tabs>
          <w:tab w:val="left" w:pos="880"/>
          <w:tab w:val="right" w:leader="dot" w:pos="9060"/>
        </w:tabs>
        <w:rPr>
          <w:rFonts w:eastAsiaTheme="minorEastAsia" w:cstheme="minorBidi"/>
          <w:smallCaps w:val="0"/>
          <w:noProof/>
          <w:sz w:val="22"/>
          <w:szCs w:val="22"/>
          <w:lang w:eastAsia="en-GB" w:bidi="ar-SA"/>
        </w:rPr>
      </w:pPr>
      <w:hyperlink w:anchor="_Toc534297198" w:history="1">
        <w:r w:rsidR="00D2459D" w:rsidRPr="00106B47">
          <w:rPr>
            <w:rStyle w:val="Hyperlink"/>
            <w:noProof/>
          </w:rPr>
          <w:t>2.1</w:t>
        </w:r>
        <w:r w:rsidR="00D2459D">
          <w:rPr>
            <w:rFonts w:eastAsiaTheme="minorEastAsia" w:cstheme="minorBidi"/>
            <w:smallCaps w:val="0"/>
            <w:noProof/>
            <w:sz w:val="22"/>
            <w:szCs w:val="22"/>
            <w:lang w:eastAsia="en-GB" w:bidi="ar-SA"/>
          </w:rPr>
          <w:tab/>
        </w:r>
        <w:r w:rsidR="00D2459D" w:rsidRPr="00106B47">
          <w:rPr>
            <w:rStyle w:val="Hyperlink"/>
            <w:noProof/>
          </w:rPr>
          <w:t>Characterisation of the enzyme</w:t>
        </w:r>
        <w:r w:rsidR="00D2459D">
          <w:rPr>
            <w:noProof/>
            <w:webHidden/>
          </w:rPr>
          <w:tab/>
        </w:r>
        <w:r w:rsidR="00D2459D">
          <w:rPr>
            <w:noProof/>
            <w:webHidden/>
          </w:rPr>
          <w:fldChar w:fldCharType="begin"/>
        </w:r>
        <w:r w:rsidR="00D2459D">
          <w:rPr>
            <w:noProof/>
            <w:webHidden/>
          </w:rPr>
          <w:instrText xml:space="preserve"> PAGEREF _Toc534297198 \h </w:instrText>
        </w:r>
        <w:r w:rsidR="00D2459D">
          <w:rPr>
            <w:noProof/>
            <w:webHidden/>
          </w:rPr>
        </w:r>
        <w:r w:rsidR="00D2459D">
          <w:rPr>
            <w:noProof/>
            <w:webHidden/>
          </w:rPr>
          <w:fldChar w:fldCharType="separate"/>
        </w:r>
        <w:r w:rsidR="00377A6B">
          <w:rPr>
            <w:noProof/>
            <w:webHidden/>
          </w:rPr>
          <w:t>2</w:t>
        </w:r>
        <w:r w:rsidR="00D2459D">
          <w:rPr>
            <w:noProof/>
            <w:webHidden/>
          </w:rPr>
          <w:fldChar w:fldCharType="end"/>
        </w:r>
      </w:hyperlink>
    </w:p>
    <w:p w14:paraId="6C4C75DE" w14:textId="5018453A"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199" w:history="1">
        <w:r w:rsidR="00D2459D" w:rsidRPr="00106B47">
          <w:rPr>
            <w:rStyle w:val="Hyperlink"/>
            <w:noProof/>
          </w:rPr>
          <w:t>2.1.1</w:t>
        </w:r>
        <w:r w:rsidR="00D2459D">
          <w:rPr>
            <w:rFonts w:eastAsiaTheme="minorEastAsia" w:cstheme="minorBidi"/>
            <w:i w:val="0"/>
            <w:iCs w:val="0"/>
            <w:noProof/>
            <w:sz w:val="22"/>
            <w:szCs w:val="22"/>
            <w:lang w:eastAsia="en-GB" w:bidi="ar-SA"/>
          </w:rPr>
          <w:tab/>
        </w:r>
        <w:r w:rsidR="00D2459D" w:rsidRPr="00106B47">
          <w:rPr>
            <w:rStyle w:val="Hyperlink"/>
            <w:noProof/>
          </w:rPr>
          <w:t>Identity of the enzyme</w:t>
        </w:r>
        <w:r w:rsidR="00D2459D">
          <w:rPr>
            <w:noProof/>
            <w:webHidden/>
          </w:rPr>
          <w:tab/>
        </w:r>
        <w:r w:rsidR="00D2459D">
          <w:rPr>
            <w:noProof/>
            <w:webHidden/>
          </w:rPr>
          <w:fldChar w:fldCharType="begin"/>
        </w:r>
        <w:r w:rsidR="00D2459D">
          <w:rPr>
            <w:noProof/>
            <w:webHidden/>
          </w:rPr>
          <w:instrText xml:space="preserve"> PAGEREF _Toc534297199 \h </w:instrText>
        </w:r>
        <w:r w:rsidR="00D2459D">
          <w:rPr>
            <w:noProof/>
            <w:webHidden/>
          </w:rPr>
        </w:r>
        <w:r w:rsidR="00D2459D">
          <w:rPr>
            <w:noProof/>
            <w:webHidden/>
          </w:rPr>
          <w:fldChar w:fldCharType="separate"/>
        </w:r>
        <w:r w:rsidR="00377A6B">
          <w:rPr>
            <w:noProof/>
            <w:webHidden/>
          </w:rPr>
          <w:t>2</w:t>
        </w:r>
        <w:r w:rsidR="00D2459D">
          <w:rPr>
            <w:noProof/>
            <w:webHidden/>
          </w:rPr>
          <w:fldChar w:fldCharType="end"/>
        </w:r>
      </w:hyperlink>
    </w:p>
    <w:p w14:paraId="4C52B8BD" w14:textId="6E91FEE6"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00" w:history="1">
        <w:r w:rsidR="00D2459D" w:rsidRPr="00106B47">
          <w:rPr>
            <w:rStyle w:val="Hyperlink"/>
            <w:noProof/>
          </w:rPr>
          <w:t>2.1.2</w:t>
        </w:r>
        <w:r w:rsidR="00D2459D">
          <w:rPr>
            <w:rFonts w:eastAsiaTheme="minorEastAsia" w:cstheme="minorBidi"/>
            <w:i w:val="0"/>
            <w:iCs w:val="0"/>
            <w:noProof/>
            <w:sz w:val="22"/>
            <w:szCs w:val="22"/>
            <w:lang w:eastAsia="en-GB" w:bidi="ar-SA"/>
          </w:rPr>
          <w:tab/>
        </w:r>
        <w:r w:rsidR="00D2459D" w:rsidRPr="00106B47">
          <w:rPr>
            <w:rStyle w:val="Hyperlink"/>
            <w:noProof/>
          </w:rPr>
          <w:t>Technological purpose of the enzyme</w:t>
        </w:r>
        <w:r w:rsidR="00D2459D">
          <w:rPr>
            <w:noProof/>
            <w:webHidden/>
          </w:rPr>
          <w:tab/>
        </w:r>
        <w:r w:rsidR="00D2459D">
          <w:rPr>
            <w:noProof/>
            <w:webHidden/>
          </w:rPr>
          <w:fldChar w:fldCharType="begin"/>
        </w:r>
        <w:r w:rsidR="00D2459D">
          <w:rPr>
            <w:noProof/>
            <w:webHidden/>
          </w:rPr>
          <w:instrText xml:space="preserve"> PAGEREF _Toc534297200 \h </w:instrText>
        </w:r>
        <w:r w:rsidR="00D2459D">
          <w:rPr>
            <w:noProof/>
            <w:webHidden/>
          </w:rPr>
        </w:r>
        <w:r w:rsidR="00D2459D">
          <w:rPr>
            <w:noProof/>
            <w:webHidden/>
          </w:rPr>
          <w:fldChar w:fldCharType="separate"/>
        </w:r>
        <w:r w:rsidR="00377A6B">
          <w:rPr>
            <w:noProof/>
            <w:webHidden/>
          </w:rPr>
          <w:t>3</w:t>
        </w:r>
        <w:r w:rsidR="00D2459D">
          <w:rPr>
            <w:noProof/>
            <w:webHidden/>
          </w:rPr>
          <w:fldChar w:fldCharType="end"/>
        </w:r>
      </w:hyperlink>
    </w:p>
    <w:p w14:paraId="1C860480" w14:textId="205B62B2"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01" w:history="1">
        <w:r w:rsidR="00D2459D" w:rsidRPr="00106B47">
          <w:rPr>
            <w:rStyle w:val="Hyperlink"/>
            <w:noProof/>
          </w:rPr>
          <w:t>2.1.3</w:t>
        </w:r>
        <w:r w:rsidR="00D2459D">
          <w:rPr>
            <w:rFonts w:eastAsiaTheme="minorEastAsia" w:cstheme="minorBidi"/>
            <w:i w:val="0"/>
            <w:iCs w:val="0"/>
            <w:noProof/>
            <w:sz w:val="22"/>
            <w:szCs w:val="22"/>
            <w:lang w:eastAsia="en-GB" w:bidi="ar-SA"/>
          </w:rPr>
          <w:tab/>
        </w:r>
        <w:r w:rsidR="00D2459D" w:rsidRPr="00106B47">
          <w:rPr>
            <w:rStyle w:val="Hyperlink"/>
            <w:noProof/>
          </w:rPr>
          <w:t>Technological justification of the enzyme</w:t>
        </w:r>
        <w:r w:rsidR="00D2459D">
          <w:rPr>
            <w:noProof/>
            <w:webHidden/>
          </w:rPr>
          <w:tab/>
        </w:r>
        <w:r w:rsidR="00D2459D">
          <w:rPr>
            <w:noProof/>
            <w:webHidden/>
          </w:rPr>
          <w:fldChar w:fldCharType="begin"/>
        </w:r>
        <w:r w:rsidR="00D2459D">
          <w:rPr>
            <w:noProof/>
            <w:webHidden/>
          </w:rPr>
          <w:instrText xml:space="preserve"> PAGEREF _Toc534297201 \h </w:instrText>
        </w:r>
        <w:r w:rsidR="00D2459D">
          <w:rPr>
            <w:noProof/>
            <w:webHidden/>
          </w:rPr>
        </w:r>
        <w:r w:rsidR="00D2459D">
          <w:rPr>
            <w:noProof/>
            <w:webHidden/>
          </w:rPr>
          <w:fldChar w:fldCharType="separate"/>
        </w:r>
        <w:r w:rsidR="00377A6B">
          <w:rPr>
            <w:noProof/>
            <w:webHidden/>
          </w:rPr>
          <w:t>3</w:t>
        </w:r>
        <w:r w:rsidR="00D2459D">
          <w:rPr>
            <w:noProof/>
            <w:webHidden/>
          </w:rPr>
          <w:fldChar w:fldCharType="end"/>
        </w:r>
      </w:hyperlink>
    </w:p>
    <w:p w14:paraId="5C67742C" w14:textId="4DBFC87E" w:rsidR="00D2459D" w:rsidRDefault="0021656E">
      <w:pPr>
        <w:pStyle w:val="TOC3"/>
        <w:tabs>
          <w:tab w:val="right" w:leader="dot" w:pos="9060"/>
        </w:tabs>
        <w:rPr>
          <w:rFonts w:eastAsiaTheme="minorEastAsia" w:cstheme="minorBidi"/>
          <w:i w:val="0"/>
          <w:iCs w:val="0"/>
          <w:noProof/>
          <w:sz w:val="22"/>
          <w:szCs w:val="22"/>
          <w:lang w:eastAsia="en-GB" w:bidi="ar-SA"/>
        </w:rPr>
      </w:pPr>
      <w:hyperlink w:anchor="_Toc534297202" w:history="1">
        <w:r w:rsidR="00D2459D" w:rsidRPr="00106B47">
          <w:rPr>
            <w:rStyle w:val="Hyperlink"/>
            <w:noProof/>
          </w:rPr>
          <w:t>2.1.4 Use levels</w:t>
        </w:r>
        <w:r w:rsidR="00D2459D">
          <w:rPr>
            <w:noProof/>
            <w:webHidden/>
          </w:rPr>
          <w:tab/>
        </w:r>
        <w:r w:rsidR="00D2459D">
          <w:rPr>
            <w:noProof/>
            <w:webHidden/>
          </w:rPr>
          <w:fldChar w:fldCharType="begin"/>
        </w:r>
        <w:r w:rsidR="00D2459D">
          <w:rPr>
            <w:noProof/>
            <w:webHidden/>
          </w:rPr>
          <w:instrText xml:space="preserve"> PAGEREF _Toc534297202 \h </w:instrText>
        </w:r>
        <w:r w:rsidR="00D2459D">
          <w:rPr>
            <w:noProof/>
            <w:webHidden/>
          </w:rPr>
        </w:r>
        <w:r w:rsidR="00D2459D">
          <w:rPr>
            <w:noProof/>
            <w:webHidden/>
          </w:rPr>
          <w:fldChar w:fldCharType="separate"/>
        </w:r>
        <w:r w:rsidR="00377A6B">
          <w:rPr>
            <w:noProof/>
            <w:webHidden/>
          </w:rPr>
          <w:t>5</w:t>
        </w:r>
        <w:r w:rsidR="00D2459D">
          <w:rPr>
            <w:noProof/>
            <w:webHidden/>
          </w:rPr>
          <w:fldChar w:fldCharType="end"/>
        </w:r>
      </w:hyperlink>
    </w:p>
    <w:p w14:paraId="07E09561" w14:textId="045BDEB6" w:rsidR="00D2459D" w:rsidRDefault="0021656E">
      <w:pPr>
        <w:pStyle w:val="TOC2"/>
        <w:tabs>
          <w:tab w:val="left" w:pos="880"/>
          <w:tab w:val="right" w:leader="dot" w:pos="9060"/>
        </w:tabs>
        <w:rPr>
          <w:rFonts w:eastAsiaTheme="minorEastAsia" w:cstheme="minorBidi"/>
          <w:smallCaps w:val="0"/>
          <w:noProof/>
          <w:sz w:val="22"/>
          <w:szCs w:val="22"/>
          <w:lang w:eastAsia="en-GB" w:bidi="ar-SA"/>
        </w:rPr>
      </w:pPr>
      <w:hyperlink w:anchor="_Toc534297203" w:history="1">
        <w:r w:rsidR="00D2459D" w:rsidRPr="00106B47">
          <w:rPr>
            <w:rStyle w:val="Hyperlink"/>
            <w:noProof/>
          </w:rPr>
          <w:t>2.2</w:t>
        </w:r>
        <w:r w:rsidR="00D2459D">
          <w:rPr>
            <w:rFonts w:eastAsiaTheme="minorEastAsia" w:cstheme="minorBidi"/>
            <w:smallCaps w:val="0"/>
            <w:noProof/>
            <w:sz w:val="22"/>
            <w:szCs w:val="22"/>
            <w:lang w:eastAsia="en-GB" w:bidi="ar-SA"/>
          </w:rPr>
          <w:tab/>
        </w:r>
        <w:r w:rsidR="00D2459D" w:rsidRPr="00106B47">
          <w:rPr>
            <w:rStyle w:val="Hyperlink"/>
            <w:noProof/>
          </w:rPr>
          <w:t>Manufacturing process</w:t>
        </w:r>
        <w:r w:rsidR="00D2459D">
          <w:rPr>
            <w:noProof/>
            <w:webHidden/>
          </w:rPr>
          <w:tab/>
        </w:r>
        <w:r w:rsidR="00D2459D">
          <w:rPr>
            <w:noProof/>
            <w:webHidden/>
          </w:rPr>
          <w:fldChar w:fldCharType="begin"/>
        </w:r>
        <w:r w:rsidR="00D2459D">
          <w:rPr>
            <w:noProof/>
            <w:webHidden/>
          </w:rPr>
          <w:instrText xml:space="preserve"> PAGEREF _Toc534297203 \h </w:instrText>
        </w:r>
        <w:r w:rsidR="00D2459D">
          <w:rPr>
            <w:noProof/>
            <w:webHidden/>
          </w:rPr>
        </w:r>
        <w:r w:rsidR="00D2459D">
          <w:rPr>
            <w:noProof/>
            <w:webHidden/>
          </w:rPr>
          <w:fldChar w:fldCharType="separate"/>
        </w:r>
        <w:r w:rsidR="00377A6B">
          <w:rPr>
            <w:noProof/>
            <w:webHidden/>
          </w:rPr>
          <w:t>6</w:t>
        </w:r>
        <w:r w:rsidR="00D2459D">
          <w:rPr>
            <w:noProof/>
            <w:webHidden/>
          </w:rPr>
          <w:fldChar w:fldCharType="end"/>
        </w:r>
      </w:hyperlink>
    </w:p>
    <w:p w14:paraId="4DCF521A" w14:textId="4B3B7E25"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04" w:history="1">
        <w:r w:rsidR="00D2459D" w:rsidRPr="00106B47">
          <w:rPr>
            <w:rStyle w:val="Hyperlink"/>
            <w:noProof/>
          </w:rPr>
          <w:t>2.2.1</w:t>
        </w:r>
        <w:r w:rsidR="00D2459D">
          <w:rPr>
            <w:rFonts w:eastAsiaTheme="minorEastAsia" w:cstheme="minorBidi"/>
            <w:i w:val="0"/>
            <w:iCs w:val="0"/>
            <w:noProof/>
            <w:sz w:val="22"/>
            <w:szCs w:val="22"/>
            <w:lang w:eastAsia="en-GB" w:bidi="ar-SA"/>
          </w:rPr>
          <w:tab/>
        </w:r>
        <w:r w:rsidR="00D2459D" w:rsidRPr="00106B47">
          <w:rPr>
            <w:rStyle w:val="Hyperlink"/>
            <w:noProof/>
          </w:rPr>
          <w:t>Production of the enzyme</w:t>
        </w:r>
        <w:r w:rsidR="00D2459D">
          <w:rPr>
            <w:noProof/>
            <w:webHidden/>
          </w:rPr>
          <w:tab/>
        </w:r>
        <w:r w:rsidR="00D2459D">
          <w:rPr>
            <w:noProof/>
            <w:webHidden/>
          </w:rPr>
          <w:fldChar w:fldCharType="begin"/>
        </w:r>
        <w:r w:rsidR="00D2459D">
          <w:rPr>
            <w:noProof/>
            <w:webHidden/>
          </w:rPr>
          <w:instrText xml:space="preserve"> PAGEREF _Toc534297204 \h </w:instrText>
        </w:r>
        <w:r w:rsidR="00D2459D">
          <w:rPr>
            <w:noProof/>
            <w:webHidden/>
          </w:rPr>
        </w:r>
        <w:r w:rsidR="00D2459D">
          <w:rPr>
            <w:noProof/>
            <w:webHidden/>
          </w:rPr>
          <w:fldChar w:fldCharType="separate"/>
        </w:r>
        <w:r w:rsidR="00377A6B">
          <w:rPr>
            <w:noProof/>
            <w:webHidden/>
          </w:rPr>
          <w:t>6</w:t>
        </w:r>
        <w:r w:rsidR="00D2459D">
          <w:rPr>
            <w:noProof/>
            <w:webHidden/>
          </w:rPr>
          <w:fldChar w:fldCharType="end"/>
        </w:r>
      </w:hyperlink>
    </w:p>
    <w:p w14:paraId="258D7B33" w14:textId="2D1E2835"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05" w:history="1">
        <w:r w:rsidR="00D2459D" w:rsidRPr="00106B47">
          <w:rPr>
            <w:rStyle w:val="Hyperlink"/>
            <w:noProof/>
          </w:rPr>
          <w:t>2.2.2</w:t>
        </w:r>
        <w:r w:rsidR="00D2459D">
          <w:rPr>
            <w:rFonts w:eastAsiaTheme="minorEastAsia" w:cstheme="minorBidi"/>
            <w:i w:val="0"/>
            <w:iCs w:val="0"/>
            <w:noProof/>
            <w:sz w:val="22"/>
            <w:szCs w:val="22"/>
            <w:lang w:eastAsia="en-GB" w:bidi="ar-SA"/>
          </w:rPr>
          <w:tab/>
        </w:r>
        <w:r w:rsidR="00D2459D" w:rsidRPr="00106B47">
          <w:rPr>
            <w:rStyle w:val="Hyperlink"/>
            <w:noProof/>
          </w:rPr>
          <w:t>Specifications</w:t>
        </w:r>
        <w:r w:rsidR="00D2459D">
          <w:rPr>
            <w:noProof/>
            <w:webHidden/>
          </w:rPr>
          <w:tab/>
        </w:r>
        <w:r w:rsidR="00D2459D">
          <w:rPr>
            <w:noProof/>
            <w:webHidden/>
          </w:rPr>
          <w:fldChar w:fldCharType="begin"/>
        </w:r>
        <w:r w:rsidR="00D2459D">
          <w:rPr>
            <w:noProof/>
            <w:webHidden/>
          </w:rPr>
          <w:instrText xml:space="preserve"> PAGEREF _Toc534297205 \h </w:instrText>
        </w:r>
        <w:r w:rsidR="00D2459D">
          <w:rPr>
            <w:noProof/>
            <w:webHidden/>
          </w:rPr>
        </w:r>
        <w:r w:rsidR="00D2459D">
          <w:rPr>
            <w:noProof/>
            <w:webHidden/>
          </w:rPr>
          <w:fldChar w:fldCharType="separate"/>
        </w:r>
        <w:r w:rsidR="00377A6B">
          <w:rPr>
            <w:noProof/>
            <w:webHidden/>
          </w:rPr>
          <w:t>7</w:t>
        </w:r>
        <w:r w:rsidR="00D2459D">
          <w:rPr>
            <w:noProof/>
            <w:webHidden/>
          </w:rPr>
          <w:fldChar w:fldCharType="end"/>
        </w:r>
      </w:hyperlink>
    </w:p>
    <w:p w14:paraId="3FBC1F81" w14:textId="0D327135"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06" w:history="1">
        <w:r w:rsidR="00D2459D" w:rsidRPr="00106B47">
          <w:rPr>
            <w:rStyle w:val="Hyperlink"/>
            <w:noProof/>
          </w:rPr>
          <w:t>2.2.3</w:t>
        </w:r>
        <w:r w:rsidR="00D2459D">
          <w:rPr>
            <w:rFonts w:eastAsiaTheme="minorEastAsia" w:cstheme="minorBidi"/>
            <w:i w:val="0"/>
            <w:iCs w:val="0"/>
            <w:noProof/>
            <w:sz w:val="22"/>
            <w:szCs w:val="22"/>
            <w:lang w:eastAsia="en-GB" w:bidi="ar-SA"/>
          </w:rPr>
          <w:tab/>
        </w:r>
        <w:r w:rsidR="00D2459D" w:rsidRPr="00106B47">
          <w:rPr>
            <w:rStyle w:val="Hyperlink"/>
            <w:noProof/>
          </w:rPr>
          <w:t>Activity and stability</w:t>
        </w:r>
        <w:r w:rsidR="00D2459D">
          <w:rPr>
            <w:noProof/>
            <w:webHidden/>
          </w:rPr>
          <w:tab/>
        </w:r>
        <w:r w:rsidR="00D2459D">
          <w:rPr>
            <w:noProof/>
            <w:webHidden/>
          </w:rPr>
          <w:fldChar w:fldCharType="begin"/>
        </w:r>
        <w:r w:rsidR="00D2459D">
          <w:rPr>
            <w:noProof/>
            <w:webHidden/>
          </w:rPr>
          <w:instrText xml:space="preserve"> PAGEREF _Toc534297206 \h </w:instrText>
        </w:r>
        <w:r w:rsidR="00D2459D">
          <w:rPr>
            <w:noProof/>
            <w:webHidden/>
          </w:rPr>
        </w:r>
        <w:r w:rsidR="00D2459D">
          <w:rPr>
            <w:noProof/>
            <w:webHidden/>
          </w:rPr>
          <w:fldChar w:fldCharType="separate"/>
        </w:r>
        <w:r w:rsidR="00377A6B">
          <w:rPr>
            <w:noProof/>
            <w:webHidden/>
          </w:rPr>
          <w:t>8</w:t>
        </w:r>
        <w:r w:rsidR="00D2459D">
          <w:rPr>
            <w:noProof/>
            <w:webHidden/>
          </w:rPr>
          <w:fldChar w:fldCharType="end"/>
        </w:r>
      </w:hyperlink>
    </w:p>
    <w:p w14:paraId="2F1178BF" w14:textId="6D698930" w:rsidR="00D2459D" w:rsidRDefault="0021656E">
      <w:pPr>
        <w:pStyle w:val="TOC2"/>
        <w:tabs>
          <w:tab w:val="left" w:pos="880"/>
          <w:tab w:val="right" w:leader="dot" w:pos="9060"/>
        </w:tabs>
        <w:rPr>
          <w:rFonts w:eastAsiaTheme="minorEastAsia" w:cstheme="minorBidi"/>
          <w:smallCaps w:val="0"/>
          <w:noProof/>
          <w:sz w:val="22"/>
          <w:szCs w:val="22"/>
          <w:lang w:eastAsia="en-GB" w:bidi="ar-SA"/>
        </w:rPr>
      </w:pPr>
      <w:hyperlink w:anchor="_Toc534297207" w:history="1">
        <w:r w:rsidR="00D2459D" w:rsidRPr="00106B47">
          <w:rPr>
            <w:rStyle w:val="Hyperlink"/>
            <w:noProof/>
          </w:rPr>
          <w:t>2.3</w:t>
        </w:r>
        <w:r w:rsidR="00D2459D">
          <w:rPr>
            <w:rFonts w:eastAsiaTheme="minorEastAsia" w:cstheme="minorBidi"/>
            <w:smallCaps w:val="0"/>
            <w:noProof/>
            <w:sz w:val="22"/>
            <w:szCs w:val="22"/>
            <w:lang w:eastAsia="en-GB" w:bidi="ar-SA"/>
          </w:rPr>
          <w:tab/>
        </w:r>
        <w:r w:rsidR="00D2459D" w:rsidRPr="00106B47">
          <w:rPr>
            <w:rStyle w:val="Hyperlink"/>
            <w:noProof/>
          </w:rPr>
          <w:t>Food technology conclusion</w:t>
        </w:r>
        <w:r w:rsidR="00D2459D">
          <w:rPr>
            <w:noProof/>
            <w:webHidden/>
          </w:rPr>
          <w:tab/>
        </w:r>
        <w:r w:rsidR="00D2459D">
          <w:rPr>
            <w:noProof/>
            <w:webHidden/>
          </w:rPr>
          <w:fldChar w:fldCharType="begin"/>
        </w:r>
        <w:r w:rsidR="00D2459D">
          <w:rPr>
            <w:noProof/>
            <w:webHidden/>
          </w:rPr>
          <w:instrText xml:space="preserve"> PAGEREF _Toc534297207 \h </w:instrText>
        </w:r>
        <w:r w:rsidR="00D2459D">
          <w:rPr>
            <w:noProof/>
            <w:webHidden/>
          </w:rPr>
        </w:r>
        <w:r w:rsidR="00D2459D">
          <w:rPr>
            <w:noProof/>
            <w:webHidden/>
          </w:rPr>
          <w:fldChar w:fldCharType="separate"/>
        </w:r>
        <w:r w:rsidR="00377A6B">
          <w:rPr>
            <w:noProof/>
            <w:webHidden/>
          </w:rPr>
          <w:t>9</w:t>
        </w:r>
        <w:r w:rsidR="00D2459D">
          <w:rPr>
            <w:noProof/>
            <w:webHidden/>
          </w:rPr>
          <w:fldChar w:fldCharType="end"/>
        </w:r>
      </w:hyperlink>
    </w:p>
    <w:p w14:paraId="4C520BE8" w14:textId="753F3750" w:rsidR="00D2459D" w:rsidRDefault="002165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4297208" w:history="1">
        <w:r w:rsidR="00D2459D" w:rsidRPr="00106B47">
          <w:rPr>
            <w:rStyle w:val="Hyperlink"/>
            <w:noProof/>
          </w:rPr>
          <w:t>3</w:t>
        </w:r>
        <w:r w:rsidR="00D2459D">
          <w:rPr>
            <w:rFonts w:eastAsiaTheme="minorEastAsia" w:cstheme="minorBidi"/>
            <w:b w:val="0"/>
            <w:bCs w:val="0"/>
            <w:caps w:val="0"/>
            <w:noProof/>
            <w:sz w:val="22"/>
            <w:szCs w:val="22"/>
            <w:lang w:eastAsia="en-GB" w:bidi="ar-SA"/>
          </w:rPr>
          <w:tab/>
        </w:r>
        <w:r w:rsidR="00D2459D" w:rsidRPr="00106B47">
          <w:rPr>
            <w:rStyle w:val="Hyperlink"/>
            <w:noProof/>
          </w:rPr>
          <w:t>Safety assessment</w:t>
        </w:r>
        <w:r w:rsidR="00D2459D">
          <w:rPr>
            <w:noProof/>
            <w:webHidden/>
          </w:rPr>
          <w:tab/>
        </w:r>
        <w:r w:rsidR="00D2459D">
          <w:rPr>
            <w:noProof/>
            <w:webHidden/>
          </w:rPr>
          <w:fldChar w:fldCharType="begin"/>
        </w:r>
        <w:r w:rsidR="00D2459D">
          <w:rPr>
            <w:noProof/>
            <w:webHidden/>
          </w:rPr>
          <w:instrText xml:space="preserve"> PAGEREF _Toc534297208 \h </w:instrText>
        </w:r>
        <w:r w:rsidR="00D2459D">
          <w:rPr>
            <w:noProof/>
            <w:webHidden/>
          </w:rPr>
        </w:r>
        <w:r w:rsidR="00D2459D">
          <w:rPr>
            <w:noProof/>
            <w:webHidden/>
          </w:rPr>
          <w:fldChar w:fldCharType="separate"/>
        </w:r>
        <w:r w:rsidR="00377A6B">
          <w:rPr>
            <w:noProof/>
            <w:webHidden/>
          </w:rPr>
          <w:t>10</w:t>
        </w:r>
        <w:r w:rsidR="00D2459D">
          <w:rPr>
            <w:noProof/>
            <w:webHidden/>
          </w:rPr>
          <w:fldChar w:fldCharType="end"/>
        </w:r>
      </w:hyperlink>
    </w:p>
    <w:p w14:paraId="029F98EE" w14:textId="683EA52E" w:rsidR="00D2459D" w:rsidRDefault="0021656E">
      <w:pPr>
        <w:pStyle w:val="TOC2"/>
        <w:tabs>
          <w:tab w:val="left" w:pos="880"/>
          <w:tab w:val="right" w:leader="dot" w:pos="9060"/>
        </w:tabs>
        <w:rPr>
          <w:rFonts w:eastAsiaTheme="minorEastAsia" w:cstheme="minorBidi"/>
          <w:smallCaps w:val="0"/>
          <w:noProof/>
          <w:sz w:val="22"/>
          <w:szCs w:val="22"/>
          <w:lang w:eastAsia="en-GB" w:bidi="ar-SA"/>
        </w:rPr>
      </w:pPr>
      <w:hyperlink w:anchor="_Toc534297209" w:history="1">
        <w:r w:rsidR="00D2459D" w:rsidRPr="00106B47">
          <w:rPr>
            <w:rStyle w:val="Hyperlink"/>
            <w:noProof/>
          </w:rPr>
          <w:t>3.1</w:t>
        </w:r>
        <w:r w:rsidR="00D2459D">
          <w:rPr>
            <w:rFonts w:eastAsiaTheme="minorEastAsia" w:cstheme="minorBidi"/>
            <w:smallCaps w:val="0"/>
            <w:noProof/>
            <w:sz w:val="22"/>
            <w:szCs w:val="22"/>
            <w:lang w:eastAsia="en-GB" w:bidi="ar-SA"/>
          </w:rPr>
          <w:tab/>
        </w:r>
        <w:r w:rsidR="00D2459D" w:rsidRPr="00106B47">
          <w:rPr>
            <w:rStyle w:val="Hyperlink"/>
            <w:noProof/>
          </w:rPr>
          <w:t>Objectives for safety assessment</w:t>
        </w:r>
        <w:r w:rsidR="00D2459D">
          <w:rPr>
            <w:noProof/>
            <w:webHidden/>
          </w:rPr>
          <w:tab/>
        </w:r>
        <w:r w:rsidR="00D2459D">
          <w:rPr>
            <w:noProof/>
            <w:webHidden/>
          </w:rPr>
          <w:fldChar w:fldCharType="begin"/>
        </w:r>
        <w:r w:rsidR="00D2459D">
          <w:rPr>
            <w:noProof/>
            <w:webHidden/>
          </w:rPr>
          <w:instrText xml:space="preserve"> PAGEREF _Toc534297209 \h </w:instrText>
        </w:r>
        <w:r w:rsidR="00D2459D">
          <w:rPr>
            <w:noProof/>
            <w:webHidden/>
          </w:rPr>
        </w:r>
        <w:r w:rsidR="00D2459D">
          <w:rPr>
            <w:noProof/>
            <w:webHidden/>
          </w:rPr>
          <w:fldChar w:fldCharType="separate"/>
        </w:r>
        <w:r w:rsidR="00377A6B">
          <w:rPr>
            <w:noProof/>
            <w:webHidden/>
          </w:rPr>
          <w:t>10</w:t>
        </w:r>
        <w:r w:rsidR="00D2459D">
          <w:rPr>
            <w:noProof/>
            <w:webHidden/>
          </w:rPr>
          <w:fldChar w:fldCharType="end"/>
        </w:r>
      </w:hyperlink>
    </w:p>
    <w:p w14:paraId="3FBA872D" w14:textId="16A481D1" w:rsidR="00D2459D" w:rsidRDefault="0021656E">
      <w:pPr>
        <w:pStyle w:val="TOC2"/>
        <w:tabs>
          <w:tab w:val="left" w:pos="880"/>
          <w:tab w:val="right" w:leader="dot" w:pos="9060"/>
        </w:tabs>
        <w:rPr>
          <w:rFonts w:eastAsiaTheme="minorEastAsia" w:cstheme="minorBidi"/>
          <w:smallCaps w:val="0"/>
          <w:noProof/>
          <w:sz w:val="22"/>
          <w:szCs w:val="22"/>
          <w:lang w:eastAsia="en-GB" w:bidi="ar-SA"/>
        </w:rPr>
      </w:pPr>
      <w:hyperlink w:anchor="_Toc534297210" w:history="1">
        <w:r w:rsidR="00D2459D" w:rsidRPr="00106B47">
          <w:rPr>
            <w:rStyle w:val="Hyperlink"/>
            <w:noProof/>
          </w:rPr>
          <w:t>3.2</w:t>
        </w:r>
        <w:r w:rsidR="00D2459D">
          <w:rPr>
            <w:rFonts w:eastAsiaTheme="minorEastAsia" w:cstheme="minorBidi"/>
            <w:smallCaps w:val="0"/>
            <w:noProof/>
            <w:sz w:val="22"/>
            <w:szCs w:val="22"/>
            <w:lang w:eastAsia="en-GB" w:bidi="ar-SA"/>
          </w:rPr>
          <w:tab/>
        </w:r>
        <w:r w:rsidR="00D2459D" w:rsidRPr="00106B47">
          <w:rPr>
            <w:rStyle w:val="Hyperlink"/>
            <w:noProof/>
          </w:rPr>
          <w:t>History of use</w:t>
        </w:r>
        <w:r w:rsidR="00D2459D">
          <w:rPr>
            <w:noProof/>
            <w:webHidden/>
          </w:rPr>
          <w:tab/>
        </w:r>
        <w:r w:rsidR="00D2459D">
          <w:rPr>
            <w:noProof/>
            <w:webHidden/>
          </w:rPr>
          <w:fldChar w:fldCharType="begin"/>
        </w:r>
        <w:r w:rsidR="00D2459D">
          <w:rPr>
            <w:noProof/>
            <w:webHidden/>
          </w:rPr>
          <w:instrText xml:space="preserve"> PAGEREF _Toc534297210 \h </w:instrText>
        </w:r>
        <w:r w:rsidR="00D2459D">
          <w:rPr>
            <w:noProof/>
            <w:webHidden/>
          </w:rPr>
        </w:r>
        <w:r w:rsidR="00D2459D">
          <w:rPr>
            <w:noProof/>
            <w:webHidden/>
          </w:rPr>
          <w:fldChar w:fldCharType="separate"/>
        </w:r>
        <w:r w:rsidR="00377A6B">
          <w:rPr>
            <w:noProof/>
            <w:webHidden/>
          </w:rPr>
          <w:t>10</w:t>
        </w:r>
        <w:r w:rsidR="00D2459D">
          <w:rPr>
            <w:noProof/>
            <w:webHidden/>
          </w:rPr>
          <w:fldChar w:fldCharType="end"/>
        </w:r>
      </w:hyperlink>
    </w:p>
    <w:p w14:paraId="71E0A356" w14:textId="7C5839EC"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11" w:history="1">
        <w:r w:rsidR="00D2459D" w:rsidRPr="00106B47">
          <w:rPr>
            <w:rStyle w:val="Hyperlink"/>
            <w:noProof/>
          </w:rPr>
          <w:t>3.2.1</w:t>
        </w:r>
        <w:r w:rsidR="00D2459D">
          <w:rPr>
            <w:rFonts w:eastAsiaTheme="minorEastAsia" w:cstheme="minorBidi"/>
            <w:i w:val="0"/>
            <w:iCs w:val="0"/>
            <w:noProof/>
            <w:sz w:val="22"/>
            <w:szCs w:val="22"/>
            <w:lang w:eastAsia="en-GB" w:bidi="ar-SA"/>
          </w:rPr>
          <w:tab/>
        </w:r>
        <w:r w:rsidR="00D2459D" w:rsidRPr="00106B47">
          <w:rPr>
            <w:rStyle w:val="Hyperlink"/>
            <w:noProof/>
          </w:rPr>
          <w:t>Host organism</w:t>
        </w:r>
        <w:r w:rsidR="00D2459D">
          <w:rPr>
            <w:noProof/>
            <w:webHidden/>
          </w:rPr>
          <w:tab/>
        </w:r>
        <w:r w:rsidR="00D2459D">
          <w:rPr>
            <w:noProof/>
            <w:webHidden/>
          </w:rPr>
          <w:fldChar w:fldCharType="begin"/>
        </w:r>
        <w:r w:rsidR="00D2459D">
          <w:rPr>
            <w:noProof/>
            <w:webHidden/>
          </w:rPr>
          <w:instrText xml:space="preserve"> PAGEREF _Toc534297211 \h </w:instrText>
        </w:r>
        <w:r w:rsidR="00D2459D">
          <w:rPr>
            <w:noProof/>
            <w:webHidden/>
          </w:rPr>
        </w:r>
        <w:r w:rsidR="00D2459D">
          <w:rPr>
            <w:noProof/>
            <w:webHidden/>
          </w:rPr>
          <w:fldChar w:fldCharType="separate"/>
        </w:r>
        <w:r w:rsidR="00377A6B">
          <w:rPr>
            <w:noProof/>
            <w:webHidden/>
          </w:rPr>
          <w:t>10</w:t>
        </w:r>
        <w:r w:rsidR="00D2459D">
          <w:rPr>
            <w:noProof/>
            <w:webHidden/>
          </w:rPr>
          <w:fldChar w:fldCharType="end"/>
        </w:r>
      </w:hyperlink>
    </w:p>
    <w:p w14:paraId="51E710DA" w14:textId="7409F195"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12" w:history="1">
        <w:r w:rsidR="00D2459D" w:rsidRPr="00106B47">
          <w:rPr>
            <w:rStyle w:val="Hyperlink"/>
            <w:noProof/>
          </w:rPr>
          <w:t>3.2.2</w:t>
        </w:r>
        <w:r w:rsidR="00D2459D">
          <w:rPr>
            <w:rFonts w:eastAsiaTheme="minorEastAsia" w:cstheme="minorBidi"/>
            <w:i w:val="0"/>
            <w:iCs w:val="0"/>
            <w:noProof/>
            <w:sz w:val="22"/>
            <w:szCs w:val="22"/>
            <w:lang w:eastAsia="en-GB" w:bidi="ar-SA"/>
          </w:rPr>
          <w:tab/>
        </w:r>
        <w:r w:rsidR="00D2459D" w:rsidRPr="00106B47">
          <w:rPr>
            <w:rStyle w:val="Hyperlink"/>
            <w:noProof/>
          </w:rPr>
          <w:t>Gene donor organism(s)</w:t>
        </w:r>
        <w:r w:rsidR="00D2459D">
          <w:rPr>
            <w:noProof/>
            <w:webHidden/>
          </w:rPr>
          <w:tab/>
        </w:r>
        <w:r w:rsidR="00D2459D">
          <w:rPr>
            <w:noProof/>
            <w:webHidden/>
          </w:rPr>
          <w:fldChar w:fldCharType="begin"/>
        </w:r>
        <w:r w:rsidR="00D2459D">
          <w:rPr>
            <w:noProof/>
            <w:webHidden/>
          </w:rPr>
          <w:instrText xml:space="preserve"> PAGEREF _Toc534297212 \h </w:instrText>
        </w:r>
        <w:r w:rsidR="00D2459D">
          <w:rPr>
            <w:noProof/>
            <w:webHidden/>
          </w:rPr>
        </w:r>
        <w:r w:rsidR="00D2459D">
          <w:rPr>
            <w:noProof/>
            <w:webHidden/>
          </w:rPr>
          <w:fldChar w:fldCharType="separate"/>
        </w:r>
        <w:r w:rsidR="00377A6B">
          <w:rPr>
            <w:noProof/>
            <w:webHidden/>
          </w:rPr>
          <w:t>10</w:t>
        </w:r>
        <w:r w:rsidR="00D2459D">
          <w:rPr>
            <w:noProof/>
            <w:webHidden/>
          </w:rPr>
          <w:fldChar w:fldCharType="end"/>
        </w:r>
      </w:hyperlink>
    </w:p>
    <w:p w14:paraId="287E69B7" w14:textId="781C6072" w:rsidR="00D2459D" w:rsidRDefault="0021656E">
      <w:pPr>
        <w:pStyle w:val="TOC2"/>
        <w:tabs>
          <w:tab w:val="left" w:pos="880"/>
          <w:tab w:val="right" w:leader="dot" w:pos="9060"/>
        </w:tabs>
        <w:rPr>
          <w:rFonts w:eastAsiaTheme="minorEastAsia" w:cstheme="minorBidi"/>
          <w:smallCaps w:val="0"/>
          <w:noProof/>
          <w:sz w:val="22"/>
          <w:szCs w:val="22"/>
          <w:lang w:eastAsia="en-GB" w:bidi="ar-SA"/>
        </w:rPr>
      </w:pPr>
      <w:hyperlink w:anchor="_Toc534297213" w:history="1">
        <w:r w:rsidR="00D2459D" w:rsidRPr="00106B47">
          <w:rPr>
            <w:rStyle w:val="Hyperlink"/>
            <w:noProof/>
          </w:rPr>
          <w:t>3.3</w:t>
        </w:r>
        <w:r w:rsidR="00D2459D">
          <w:rPr>
            <w:rFonts w:eastAsiaTheme="minorEastAsia" w:cstheme="minorBidi"/>
            <w:smallCaps w:val="0"/>
            <w:noProof/>
            <w:sz w:val="22"/>
            <w:szCs w:val="22"/>
            <w:lang w:eastAsia="en-GB" w:bidi="ar-SA"/>
          </w:rPr>
          <w:tab/>
        </w:r>
        <w:r w:rsidR="00D2459D" w:rsidRPr="00106B47">
          <w:rPr>
            <w:rStyle w:val="Hyperlink"/>
            <w:noProof/>
          </w:rPr>
          <w:t>Characterisation of the genetic modification(s)</w:t>
        </w:r>
        <w:r w:rsidR="00D2459D">
          <w:rPr>
            <w:noProof/>
            <w:webHidden/>
          </w:rPr>
          <w:tab/>
        </w:r>
        <w:r w:rsidR="00D2459D">
          <w:rPr>
            <w:noProof/>
            <w:webHidden/>
          </w:rPr>
          <w:fldChar w:fldCharType="begin"/>
        </w:r>
        <w:r w:rsidR="00D2459D">
          <w:rPr>
            <w:noProof/>
            <w:webHidden/>
          </w:rPr>
          <w:instrText xml:space="preserve"> PAGEREF _Toc534297213 \h </w:instrText>
        </w:r>
        <w:r w:rsidR="00D2459D">
          <w:rPr>
            <w:noProof/>
            <w:webHidden/>
          </w:rPr>
        </w:r>
        <w:r w:rsidR="00D2459D">
          <w:rPr>
            <w:noProof/>
            <w:webHidden/>
          </w:rPr>
          <w:fldChar w:fldCharType="separate"/>
        </w:r>
        <w:r w:rsidR="00377A6B">
          <w:rPr>
            <w:noProof/>
            <w:webHidden/>
          </w:rPr>
          <w:t>10</w:t>
        </w:r>
        <w:r w:rsidR="00D2459D">
          <w:rPr>
            <w:noProof/>
            <w:webHidden/>
          </w:rPr>
          <w:fldChar w:fldCharType="end"/>
        </w:r>
      </w:hyperlink>
    </w:p>
    <w:p w14:paraId="14AA6840" w14:textId="4D601FD5" w:rsidR="00D2459D" w:rsidRDefault="0021656E">
      <w:pPr>
        <w:pStyle w:val="TOC2"/>
        <w:tabs>
          <w:tab w:val="left" w:pos="880"/>
          <w:tab w:val="right" w:leader="dot" w:pos="9060"/>
        </w:tabs>
        <w:rPr>
          <w:rFonts w:eastAsiaTheme="minorEastAsia" w:cstheme="minorBidi"/>
          <w:smallCaps w:val="0"/>
          <w:noProof/>
          <w:sz w:val="22"/>
          <w:szCs w:val="22"/>
          <w:lang w:eastAsia="en-GB" w:bidi="ar-SA"/>
        </w:rPr>
      </w:pPr>
      <w:hyperlink w:anchor="_Toc534297214" w:history="1">
        <w:r w:rsidR="00D2459D" w:rsidRPr="00106B47">
          <w:rPr>
            <w:rStyle w:val="Hyperlink"/>
            <w:noProof/>
          </w:rPr>
          <w:t>3.4</w:t>
        </w:r>
        <w:r w:rsidR="00D2459D">
          <w:rPr>
            <w:rFonts w:eastAsiaTheme="minorEastAsia" w:cstheme="minorBidi"/>
            <w:smallCaps w:val="0"/>
            <w:noProof/>
            <w:sz w:val="22"/>
            <w:szCs w:val="22"/>
            <w:lang w:eastAsia="en-GB" w:bidi="ar-SA"/>
          </w:rPr>
          <w:tab/>
        </w:r>
        <w:r w:rsidR="00D2459D" w:rsidRPr="00106B47">
          <w:rPr>
            <w:rStyle w:val="Hyperlink"/>
            <w:noProof/>
          </w:rPr>
          <w:t>Safety of Aspergillopepsin I (AFP)</w:t>
        </w:r>
        <w:r w:rsidR="00D2459D">
          <w:rPr>
            <w:noProof/>
            <w:webHidden/>
          </w:rPr>
          <w:tab/>
        </w:r>
        <w:r w:rsidR="00D2459D">
          <w:rPr>
            <w:noProof/>
            <w:webHidden/>
          </w:rPr>
          <w:fldChar w:fldCharType="begin"/>
        </w:r>
        <w:r w:rsidR="00D2459D">
          <w:rPr>
            <w:noProof/>
            <w:webHidden/>
          </w:rPr>
          <w:instrText xml:space="preserve"> PAGEREF _Toc534297214 \h </w:instrText>
        </w:r>
        <w:r w:rsidR="00D2459D">
          <w:rPr>
            <w:noProof/>
            <w:webHidden/>
          </w:rPr>
        </w:r>
        <w:r w:rsidR="00D2459D">
          <w:rPr>
            <w:noProof/>
            <w:webHidden/>
          </w:rPr>
          <w:fldChar w:fldCharType="separate"/>
        </w:r>
        <w:r w:rsidR="00377A6B">
          <w:rPr>
            <w:noProof/>
            <w:webHidden/>
          </w:rPr>
          <w:t>12</w:t>
        </w:r>
        <w:r w:rsidR="00D2459D">
          <w:rPr>
            <w:noProof/>
            <w:webHidden/>
          </w:rPr>
          <w:fldChar w:fldCharType="end"/>
        </w:r>
      </w:hyperlink>
    </w:p>
    <w:p w14:paraId="686E1FC3" w14:textId="78201BF1"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15" w:history="1">
        <w:r w:rsidR="00D2459D" w:rsidRPr="00106B47">
          <w:rPr>
            <w:rStyle w:val="Hyperlink"/>
            <w:noProof/>
          </w:rPr>
          <w:t>3.4.1</w:t>
        </w:r>
        <w:r w:rsidR="00D2459D">
          <w:rPr>
            <w:rFonts w:eastAsiaTheme="minorEastAsia" w:cstheme="minorBidi"/>
            <w:i w:val="0"/>
            <w:iCs w:val="0"/>
            <w:noProof/>
            <w:sz w:val="22"/>
            <w:szCs w:val="22"/>
            <w:lang w:eastAsia="en-GB" w:bidi="ar-SA"/>
          </w:rPr>
          <w:tab/>
        </w:r>
        <w:r w:rsidR="00D2459D" w:rsidRPr="00106B47">
          <w:rPr>
            <w:rStyle w:val="Hyperlink"/>
            <w:noProof/>
          </w:rPr>
          <w:t>History of safe use of the enzyme</w:t>
        </w:r>
        <w:r w:rsidR="00D2459D">
          <w:rPr>
            <w:noProof/>
            <w:webHidden/>
          </w:rPr>
          <w:tab/>
        </w:r>
        <w:r w:rsidR="00D2459D">
          <w:rPr>
            <w:noProof/>
            <w:webHidden/>
          </w:rPr>
          <w:fldChar w:fldCharType="begin"/>
        </w:r>
        <w:r w:rsidR="00D2459D">
          <w:rPr>
            <w:noProof/>
            <w:webHidden/>
          </w:rPr>
          <w:instrText xml:space="preserve"> PAGEREF _Toc534297215 \h </w:instrText>
        </w:r>
        <w:r w:rsidR="00D2459D">
          <w:rPr>
            <w:noProof/>
            <w:webHidden/>
          </w:rPr>
        </w:r>
        <w:r w:rsidR="00D2459D">
          <w:rPr>
            <w:noProof/>
            <w:webHidden/>
          </w:rPr>
          <w:fldChar w:fldCharType="separate"/>
        </w:r>
        <w:r w:rsidR="00377A6B">
          <w:rPr>
            <w:noProof/>
            <w:webHidden/>
          </w:rPr>
          <w:t>12</w:t>
        </w:r>
        <w:r w:rsidR="00D2459D">
          <w:rPr>
            <w:noProof/>
            <w:webHidden/>
          </w:rPr>
          <w:fldChar w:fldCharType="end"/>
        </w:r>
      </w:hyperlink>
    </w:p>
    <w:p w14:paraId="63C564BD" w14:textId="7205E7C0"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16" w:history="1">
        <w:r w:rsidR="00D2459D" w:rsidRPr="00106B47">
          <w:rPr>
            <w:rStyle w:val="Hyperlink"/>
            <w:noProof/>
          </w:rPr>
          <w:t>3.4.2</w:t>
        </w:r>
        <w:r w:rsidR="00D2459D">
          <w:rPr>
            <w:rFonts w:eastAsiaTheme="minorEastAsia" w:cstheme="minorBidi"/>
            <w:i w:val="0"/>
            <w:iCs w:val="0"/>
            <w:noProof/>
            <w:sz w:val="22"/>
            <w:szCs w:val="22"/>
            <w:lang w:eastAsia="en-GB" w:bidi="ar-SA"/>
          </w:rPr>
          <w:tab/>
        </w:r>
        <w:r w:rsidR="00D2459D" w:rsidRPr="00106B47">
          <w:rPr>
            <w:rStyle w:val="Hyperlink"/>
            <w:noProof/>
          </w:rPr>
          <w:t>Bioinformatics concerning potential for toxicity</w:t>
        </w:r>
        <w:r w:rsidR="00D2459D">
          <w:rPr>
            <w:noProof/>
            <w:webHidden/>
          </w:rPr>
          <w:tab/>
        </w:r>
        <w:r w:rsidR="00D2459D">
          <w:rPr>
            <w:noProof/>
            <w:webHidden/>
          </w:rPr>
          <w:fldChar w:fldCharType="begin"/>
        </w:r>
        <w:r w:rsidR="00D2459D">
          <w:rPr>
            <w:noProof/>
            <w:webHidden/>
          </w:rPr>
          <w:instrText xml:space="preserve"> PAGEREF _Toc534297216 \h </w:instrText>
        </w:r>
        <w:r w:rsidR="00D2459D">
          <w:rPr>
            <w:noProof/>
            <w:webHidden/>
          </w:rPr>
        </w:r>
        <w:r w:rsidR="00D2459D">
          <w:rPr>
            <w:noProof/>
            <w:webHidden/>
          </w:rPr>
          <w:fldChar w:fldCharType="separate"/>
        </w:r>
        <w:r w:rsidR="00377A6B">
          <w:rPr>
            <w:noProof/>
            <w:webHidden/>
          </w:rPr>
          <w:t>12</w:t>
        </w:r>
        <w:r w:rsidR="00D2459D">
          <w:rPr>
            <w:noProof/>
            <w:webHidden/>
          </w:rPr>
          <w:fldChar w:fldCharType="end"/>
        </w:r>
      </w:hyperlink>
    </w:p>
    <w:p w14:paraId="26B68BE4" w14:textId="688A00B9"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17" w:history="1">
        <w:r w:rsidR="00D2459D" w:rsidRPr="00106B47">
          <w:rPr>
            <w:rStyle w:val="Hyperlink"/>
            <w:noProof/>
          </w:rPr>
          <w:t>3.4.3</w:t>
        </w:r>
        <w:r w:rsidR="00D2459D">
          <w:rPr>
            <w:rFonts w:eastAsiaTheme="minorEastAsia" w:cstheme="minorBidi"/>
            <w:i w:val="0"/>
            <w:iCs w:val="0"/>
            <w:noProof/>
            <w:sz w:val="22"/>
            <w:szCs w:val="22"/>
            <w:lang w:eastAsia="en-GB" w:bidi="ar-SA"/>
          </w:rPr>
          <w:tab/>
        </w:r>
        <w:r w:rsidR="00D2459D" w:rsidRPr="00106B47">
          <w:rPr>
            <w:rStyle w:val="Hyperlink"/>
            <w:noProof/>
          </w:rPr>
          <w:t>Toxicology studies</w:t>
        </w:r>
        <w:r w:rsidR="00D2459D">
          <w:rPr>
            <w:noProof/>
            <w:webHidden/>
          </w:rPr>
          <w:tab/>
        </w:r>
        <w:r w:rsidR="00D2459D">
          <w:rPr>
            <w:noProof/>
            <w:webHidden/>
          </w:rPr>
          <w:fldChar w:fldCharType="begin"/>
        </w:r>
        <w:r w:rsidR="00D2459D">
          <w:rPr>
            <w:noProof/>
            <w:webHidden/>
          </w:rPr>
          <w:instrText xml:space="preserve"> PAGEREF _Toc534297217 \h </w:instrText>
        </w:r>
        <w:r w:rsidR="00D2459D">
          <w:rPr>
            <w:noProof/>
            <w:webHidden/>
          </w:rPr>
        </w:r>
        <w:r w:rsidR="00D2459D">
          <w:rPr>
            <w:noProof/>
            <w:webHidden/>
          </w:rPr>
          <w:fldChar w:fldCharType="separate"/>
        </w:r>
        <w:r w:rsidR="00377A6B">
          <w:rPr>
            <w:noProof/>
            <w:webHidden/>
          </w:rPr>
          <w:t>12</w:t>
        </w:r>
        <w:r w:rsidR="00D2459D">
          <w:rPr>
            <w:noProof/>
            <w:webHidden/>
          </w:rPr>
          <w:fldChar w:fldCharType="end"/>
        </w:r>
      </w:hyperlink>
    </w:p>
    <w:p w14:paraId="44216C84" w14:textId="7933B446"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18" w:history="1">
        <w:r w:rsidR="00D2459D" w:rsidRPr="00106B47">
          <w:rPr>
            <w:rStyle w:val="Hyperlink"/>
            <w:noProof/>
          </w:rPr>
          <w:t>3.4.4</w:t>
        </w:r>
        <w:r w:rsidR="00D2459D">
          <w:rPr>
            <w:rFonts w:eastAsiaTheme="minorEastAsia" w:cstheme="minorBidi"/>
            <w:i w:val="0"/>
            <w:iCs w:val="0"/>
            <w:noProof/>
            <w:sz w:val="22"/>
            <w:szCs w:val="22"/>
            <w:lang w:eastAsia="en-GB" w:bidi="ar-SA"/>
          </w:rPr>
          <w:tab/>
        </w:r>
        <w:r w:rsidR="00D2459D" w:rsidRPr="00106B47">
          <w:rPr>
            <w:rStyle w:val="Hyperlink"/>
            <w:noProof/>
          </w:rPr>
          <w:t>Genotoxicity assays</w:t>
        </w:r>
        <w:r w:rsidR="00D2459D">
          <w:rPr>
            <w:noProof/>
            <w:webHidden/>
          </w:rPr>
          <w:tab/>
        </w:r>
        <w:r w:rsidR="00D2459D">
          <w:rPr>
            <w:noProof/>
            <w:webHidden/>
          </w:rPr>
          <w:fldChar w:fldCharType="begin"/>
        </w:r>
        <w:r w:rsidR="00D2459D">
          <w:rPr>
            <w:noProof/>
            <w:webHidden/>
          </w:rPr>
          <w:instrText xml:space="preserve"> PAGEREF _Toc534297218 \h </w:instrText>
        </w:r>
        <w:r w:rsidR="00D2459D">
          <w:rPr>
            <w:noProof/>
            <w:webHidden/>
          </w:rPr>
        </w:r>
        <w:r w:rsidR="00D2459D">
          <w:rPr>
            <w:noProof/>
            <w:webHidden/>
          </w:rPr>
          <w:fldChar w:fldCharType="separate"/>
        </w:r>
        <w:r w:rsidR="00377A6B">
          <w:rPr>
            <w:noProof/>
            <w:webHidden/>
          </w:rPr>
          <w:t>13</w:t>
        </w:r>
        <w:r w:rsidR="00D2459D">
          <w:rPr>
            <w:noProof/>
            <w:webHidden/>
          </w:rPr>
          <w:fldChar w:fldCharType="end"/>
        </w:r>
      </w:hyperlink>
    </w:p>
    <w:p w14:paraId="514CD0C1" w14:textId="0DC9976E"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19" w:history="1">
        <w:r w:rsidR="00D2459D" w:rsidRPr="00106B47">
          <w:rPr>
            <w:rStyle w:val="Hyperlink"/>
            <w:noProof/>
          </w:rPr>
          <w:t>3.4.5</w:t>
        </w:r>
        <w:r w:rsidR="00D2459D">
          <w:rPr>
            <w:rFonts w:eastAsiaTheme="minorEastAsia" w:cstheme="minorBidi"/>
            <w:i w:val="0"/>
            <w:iCs w:val="0"/>
            <w:noProof/>
            <w:sz w:val="22"/>
            <w:szCs w:val="22"/>
            <w:lang w:eastAsia="en-GB" w:bidi="ar-SA"/>
          </w:rPr>
          <w:tab/>
        </w:r>
        <w:r w:rsidR="00D2459D" w:rsidRPr="00106B47">
          <w:rPr>
            <w:rStyle w:val="Hyperlink"/>
            <w:noProof/>
          </w:rPr>
          <w:t>Potential for allergenicity</w:t>
        </w:r>
        <w:r w:rsidR="00D2459D">
          <w:rPr>
            <w:noProof/>
            <w:webHidden/>
          </w:rPr>
          <w:tab/>
        </w:r>
        <w:r w:rsidR="00D2459D">
          <w:rPr>
            <w:noProof/>
            <w:webHidden/>
          </w:rPr>
          <w:fldChar w:fldCharType="begin"/>
        </w:r>
        <w:r w:rsidR="00D2459D">
          <w:rPr>
            <w:noProof/>
            <w:webHidden/>
          </w:rPr>
          <w:instrText xml:space="preserve"> PAGEREF _Toc534297219 \h </w:instrText>
        </w:r>
        <w:r w:rsidR="00D2459D">
          <w:rPr>
            <w:noProof/>
            <w:webHidden/>
          </w:rPr>
        </w:r>
        <w:r w:rsidR="00D2459D">
          <w:rPr>
            <w:noProof/>
            <w:webHidden/>
          </w:rPr>
          <w:fldChar w:fldCharType="separate"/>
        </w:r>
        <w:r w:rsidR="00377A6B">
          <w:rPr>
            <w:noProof/>
            <w:webHidden/>
          </w:rPr>
          <w:t>13</w:t>
        </w:r>
        <w:r w:rsidR="00D2459D">
          <w:rPr>
            <w:noProof/>
            <w:webHidden/>
          </w:rPr>
          <w:fldChar w:fldCharType="end"/>
        </w:r>
      </w:hyperlink>
    </w:p>
    <w:p w14:paraId="0AF15CED" w14:textId="1CB042A0" w:rsidR="00D2459D" w:rsidRDefault="0021656E">
      <w:pPr>
        <w:pStyle w:val="TOC3"/>
        <w:tabs>
          <w:tab w:val="left" w:pos="1100"/>
          <w:tab w:val="right" w:leader="dot" w:pos="9060"/>
        </w:tabs>
        <w:rPr>
          <w:rFonts w:eastAsiaTheme="minorEastAsia" w:cstheme="minorBidi"/>
          <w:i w:val="0"/>
          <w:iCs w:val="0"/>
          <w:noProof/>
          <w:sz w:val="22"/>
          <w:szCs w:val="22"/>
          <w:lang w:eastAsia="en-GB" w:bidi="ar-SA"/>
        </w:rPr>
      </w:pPr>
      <w:hyperlink w:anchor="_Toc534297220" w:history="1">
        <w:r w:rsidR="00D2459D" w:rsidRPr="00106B47">
          <w:rPr>
            <w:rStyle w:val="Hyperlink"/>
            <w:noProof/>
          </w:rPr>
          <w:t>3.4.6</w:t>
        </w:r>
        <w:r w:rsidR="00D2459D">
          <w:rPr>
            <w:rFonts w:eastAsiaTheme="minorEastAsia" w:cstheme="minorBidi"/>
            <w:i w:val="0"/>
            <w:iCs w:val="0"/>
            <w:noProof/>
            <w:sz w:val="22"/>
            <w:szCs w:val="22"/>
            <w:lang w:eastAsia="en-GB" w:bidi="ar-SA"/>
          </w:rPr>
          <w:tab/>
        </w:r>
        <w:r w:rsidR="00D2459D" w:rsidRPr="00106B47">
          <w:rPr>
            <w:rStyle w:val="Hyperlink"/>
            <w:noProof/>
          </w:rPr>
          <w:t>Approvals by other regulatory agencies</w:t>
        </w:r>
        <w:r w:rsidR="00D2459D">
          <w:rPr>
            <w:noProof/>
            <w:webHidden/>
          </w:rPr>
          <w:tab/>
        </w:r>
        <w:r w:rsidR="00D2459D">
          <w:rPr>
            <w:noProof/>
            <w:webHidden/>
          </w:rPr>
          <w:fldChar w:fldCharType="begin"/>
        </w:r>
        <w:r w:rsidR="00D2459D">
          <w:rPr>
            <w:noProof/>
            <w:webHidden/>
          </w:rPr>
          <w:instrText xml:space="preserve"> PAGEREF _Toc534297220 \h </w:instrText>
        </w:r>
        <w:r w:rsidR="00D2459D">
          <w:rPr>
            <w:noProof/>
            <w:webHidden/>
          </w:rPr>
        </w:r>
        <w:r w:rsidR="00D2459D">
          <w:rPr>
            <w:noProof/>
            <w:webHidden/>
          </w:rPr>
          <w:fldChar w:fldCharType="separate"/>
        </w:r>
        <w:r w:rsidR="00377A6B">
          <w:rPr>
            <w:noProof/>
            <w:webHidden/>
          </w:rPr>
          <w:t>13</w:t>
        </w:r>
        <w:r w:rsidR="00D2459D">
          <w:rPr>
            <w:noProof/>
            <w:webHidden/>
          </w:rPr>
          <w:fldChar w:fldCharType="end"/>
        </w:r>
      </w:hyperlink>
    </w:p>
    <w:p w14:paraId="68869748" w14:textId="51C64823" w:rsidR="00D2459D" w:rsidRDefault="0021656E">
      <w:pPr>
        <w:pStyle w:val="TOC2"/>
        <w:tabs>
          <w:tab w:val="left" w:pos="660"/>
          <w:tab w:val="right" w:leader="dot" w:pos="9060"/>
        </w:tabs>
        <w:rPr>
          <w:rFonts w:eastAsiaTheme="minorEastAsia" w:cstheme="minorBidi"/>
          <w:smallCaps w:val="0"/>
          <w:noProof/>
          <w:sz w:val="22"/>
          <w:szCs w:val="22"/>
          <w:lang w:eastAsia="en-GB" w:bidi="ar-SA"/>
        </w:rPr>
      </w:pPr>
      <w:hyperlink w:anchor="_Toc534297221" w:history="1">
        <w:r w:rsidR="00D2459D" w:rsidRPr="00106B47">
          <w:rPr>
            <w:rStyle w:val="Hyperlink"/>
            <w:noProof/>
          </w:rPr>
          <w:t>4</w:t>
        </w:r>
        <w:r w:rsidR="00D2459D">
          <w:rPr>
            <w:rFonts w:eastAsiaTheme="minorEastAsia" w:cstheme="minorBidi"/>
            <w:smallCaps w:val="0"/>
            <w:noProof/>
            <w:sz w:val="22"/>
            <w:szCs w:val="22"/>
            <w:lang w:eastAsia="en-GB" w:bidi="ar-SA"/>
          </w:rPr>
          <w:tab/>
        </w:r>
        <w:r w:rsidR="00D2459D" w:rsidRPr="00106B47">
          <w:rPr>
            <w:rStyle w:val="Hyperlink"/>
            <w:noProof/>
          </w:rPr>
          <w:t>Discussion</w:t>
        </w:r>
        <w:r w:rsidR="00D2459D">
          <w:rPr>
            <w:noProof/>
            <w:webHidden/>
          </w:rPr>
          <w:tab/>
        </w:r>
        <w:r w:rsidR="00D2459D">
          <w:rPr>
            <w:noProof/>
            <w:webHidden/>
          </w:rPr>
          <w:fldChar w:fldCharType="begin"/>
        </w:r>
        <w:r w:rsidR="00D2459D">
          <w:rPr>
            <w:noProof/>
            <w:webHidden/>
          </w:rPr>
          <w:instrText xml:space="preserve"> PAGEREF _Toc534297221 \h </w:instrText>
        </w:r>
        <w:r w:rsidR="00D2459D">
          <w:rPr>
            <w:noProof/>
            <w:webHidden/>
          </w:rPr>
        </w:r>
        <w:r w:rsidR="00D2459D">
          <w:rPr>
            <w:noProof/>
            <w:webHidden/>
          </w:rPr>
          <w:fldChar w:fldCharType="separate"/>
        </w:r>
        <w:r w:rsidR="00377A6B">
          <w:rPr>
            <w:noProof/>
            <w:webHidden/>
          </w:rPr>
          <w:t>13</w:t>
        </w:r>
        <w:r w:rsidR="00D2459D">
          <w:rPr>
            <w:noProof/>
            <w:webHidden/>
          </w:rPr>
          <w:fldChar w:fldCharType="end"/>
        </w:r>
      </w:hyperlink>
    </w:p>
    <w:p w14:paraId="0E66A549" w14:textId="7234E112" w:rsidR="00D2459D" w:rsidRDefault="002165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4297222" w:history="1">
        <w:r w:rsidR="00D2459D" w:rsidRPr="00106B47">
          <w:rPr>
            <w:rStyle w:val="Hyperlink"/>
            <w:noProof/>
          </w:rPr>
          <w:t xml:space="preserve">5 </w:t>
        </w:r>
        <w:r w:rsidR="00D2459D">
          <w:rPr>
            <w:rFonts w:eastAsiaTheme="minorEastAsia" w:cstheme="minorBidi"/>
            <w:b w:val="0"/>
            <w:bCs w:val="0"/>
            <w:caps w:val="0"/>
            <w:noProof/>
            <w:sz w:val="22"/>
            <w:szCs w:val="22"/>
            <w:lang w:eastAsia="en-GB" w:bidi="ar-SA"/>
          </w:rPr>
          <w:tab/>
        </w:r>
        <w:r w:rsidR="00D2459D" w:rsidRPr="00106B47">
          <w:rPr>
            <w:rStyle w:val="Hyperlink"/>
            <w:noProof/>
          </w:rPr>
          <w:t>Conclusions</w:t>
        </w:r>
        <w:r w:rsidR="00D2459D">
          <w:rPr>
            <w:noProof/>
            <w:webHidden/>
          </w:rPr>
          <w:tab/>
        </w:r>
        <w:r w:rsidR="00D2459D">
          <w:rPr>
            <w:noProof/>
            <w:webHidden/>
          </w:rPr>
          <w:fldChar w:fldCharType="begin"/>
        </w:r>
        <w:r w:rsidR="00D2459D">
          <w:rPr>
            <w:noProof/>
            <w:webHidden/>
          </w:rPr>
          <w:instrText xml:space="preserve"> PAGEREF _Toc534297222 \h </w:instrText>
        </w:r>
        <w:r w:rsidR="00D2459D">
          <w:rPr>
            <w:noProof/>
            <w:webHidden/>
          </w:rPr>
        </w:r>
        <w:r w:rsidR="00D2459D">
          <w:rPr>
            <w:noProof/>
            <w:webHidden/>
          </w:rPr>
          <w:fldChar w:fldCharType="separate"/>
        </w:r>
        <w:r w:rsidR="00377A6B">
          <w:rPr>
            <w:noProof/>
            <w:webHidden/>
          </w:rPr>
          <w:t>14</w:t>
        </w:r>
        <w:r w:rsidR="00D2459D">
          <w:rPr>
            <w:noProof/>
            <w:webHidden/>
          </w:rPr>
          <w:fldChar w:fldCharType="end"/>
        </w:r>
      </w:hyperlink>
    </w:p>
    <w:p w14:paraId="12DFAC3A" w14:textId="5858044A" w:rsidR="00D2459D" w:rsidRDefault="0021656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4297223" w:history="1">
        <w:r w:rsidR="00D2459D" w:rsidRPr="00106B47">
          <w:rPr>
            <w:rStyle w:val="Hyperlink"/>
            <w:noProof/>
          </w:rPr>
          <w:t xml:space="preserve">6 </w:t>
        </w:r>
        <w:r w:rsidR="00D2459D">
          <w:rPr>
            <w:rFonts w:eastAsiaTheme="minorEastAsia" w:cstheme="minorBidi"/>
            <w:b w:val="0"/>
            <w:bCs w:val="0"/>
            <w:caps w:val="0"/>
            <w:noProof/>
            <w:sz w:val="22"/>
            <w:szCs w:val="22"/>
            <w:lang w:eastAsia="en-GB" w:bidi="ar-SA"/>
          </w:rPr>
          <w:tab/>
        </w:r>
        <w:r w:rsidR="00D2459D" w:rsidRPr="00106B47">
          <w:rPr>
            <w:rStyle w:val="Hyperlink"/>
            <w:noProof/>
          </w:rPr>
          <w:t>References</w:t>
        </w:r>
        <w:r w:rsidR="00D2459D">
          <w:rPr>
            <w:noProof/>
            <w:webHidden/>
          </w:rPr>
          <w:tab/>
        </w:r>
        <w:r w:rsidR="00D2459D">
          <w:rPr>
            <w:noProof/>
            <w:webHidden/>
          </w:rPr>
          <w:fldChar w:fldCharType="begin"/>
        </w:r>
        <w:r w:rsidR="00D2459D">
          <w:rPr>
            <w:noProof/>
            <w:webHidden/>
          </w:rPr>
          <w:instrText xml:space="preserve"> PAGEREF _Toc534297223 \h </w:instrText>
        </w:r>
        <w:r w:rsidR="00D2459D">
          <w:rPr>
            <w:noProof/>
            <w:webHidden/>
          </w:rPr>
        </w:r>
        <w:r w:rsidR="00D2459D">
          <w:rPr>
            <w:noProof/>
            <w:webHidden/>
          </w:rPr>
          <w:fldChar w:fldCharType="separate"/>
        </w:r>
        <w:r w:rsidR="00377A6B">
          <w:rPr>
            <w:noProof/>
            <w:webHidden/>
          </w:rPr>
          <w:t>14</w:t>
        </w:r>
        <w:r w:rsidR="00D2459D">
          <w:rPr>
            <w:noProof/>
            <w:webHidden/>
          </w:rPr>
          <w:fldChar w:fldCharType="end"/>
        </w:r>
      </w:hyperlink>
    </w:p>
    <w:p w14:paraId="61A5A49E" w14:textId="2485A228"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0A14E9">
      <w:pPr>
        <w:pStyle w:val="Heading1"/>
        <w:ind w:left="567" w:hanging="567"/>
      </w:pPr>
      <w:bookmarkStart w:id="5" w:name="_Toc501699816"/>
      <w:bookmarkStart w:id="6" w:name="_Toc533087502"/>
      <w:bookmarkStart w:id="7" w:name="_Toc534297195"/>
      <w:r>
        <w:lastRenderedPageBreak/>
        <w:t xml:space="preserve">1 </w:t>
      </w:r>
      <w:r w:rsidR="00D410BF">
        <w:tab/>
      </w:r>
      <w:r>
        <w:t>Introduction</w:t>
      </w:r>
      <w:bookmarkEnd w:id="5"/>
      <w:bookmarkEnd w:id="6"/>
      <w:bookmarkEnd w:id="7"/>
    </w:p>
    <w:p w14:paraId="0BD170F1" w14:textId="1B218B58" w:rsidR="001C3A1C" w:rsidRDefault="001C3A1C" w:rsidP="00D410BF">
      <w:bookmarkStart w:id="8" w:name="_Toc501699817"/>
      <w:bookmarkEnd w:id="8"/>
      <w:r w:rsidRPr="001C3A1C">
        <w:t xml:space="preserve">DuPont Australia Pty Ltd </w:t>
      </w:r>
      <w:r w:rsidR="00CA71E7">
        <w:t xml:space="preserve">has made an application to FSANZ </w:t>
      </w:r>
      <w:r w:rsidRPr="001C3A1C">
        <w:t xml:space="preserve">seeking permission for a new microbial source for the already permitted enzyme, </w:t>
      </w:r>
      <w:r w:rsidR="008B6B30">
        <w:t>Aspergillopepsin I</w:t>
      </w:r>
      <w:r w:rsidRPr="001C3A1C">
        <w:t xml:space="preserve"> (EC 3.4.23.18)</w:t>
      </w:r>
      <w:r w:rsidR="00D67D67">
        <w:t>,</w:t>
      </w:r>
      <w:r w:rsidRPr="001C3A1C">
        <w:t xml:space="preserve"> as a processing aid. </w:t>
      </w:r>
    </w:p>
    <w:p w14:paraId="141F3E56" w14:textId="77777777" w:rsidR="001C3A1C" w:rsidRDefault="001C3A1C" w:rsidP="00D410BF"/>
    <w:p w14:paraId="172A73F1" w14:textId="2D102380" w:rsidR="001C3A1C" w:rsidRDefault="001C3A1C" w:rsidP="001C3A1C">
      <w:pPr>
        <w:widowControl/>
        <w:autoSpaceDE w:val="0"/>
        <w:autoSpaceDN w:val="0"/>
        <w:adjustRightInd w:val="0"/>
        <w:rPr>
          <w:rFonts w:cs="Arial"/>
        </w:rPr>
      </w:pPr>
      <w:r w:rsidRPr="001C3A1C">
        <w:t xml:space="preserve">The </w:t>
      </w:r>
      <w:r w:rsidR="00D67D67">
        <w:t xml:space="preserve">commercial </w:t>
      </w:r>
      <w:r w:rsidRPr="001C3A1C">
        <w:t xml:space="preserve">enzyme </w:t>
      </w:r>
      <w:r w:rsidR="00D67D67">
        <w:t xml:space="preserve">preparation </w:t>
      </w:r>
      <w:r w:rsidRPr="001C3A1C">
        <w:t xml:space="preserve">designated as </w:t>
      </w:r>
      <w:r w:rsidRPr="001C3A1C">
        <w:rPr>
          <w:i/>
        </w:rPr>
        <w:t>Acid Fungal Protease</w:t>
      </w:r>
      <w:r>
        <w:t xml:space="preserve"> (AFP)</w:t>
      </w:r>
      <w:r w:rsidRPr="001C3A1C">
        <w:t xml:space="preserve"> in this report, is produced by submerged fermentation of a genetically modified (GM) strain of </w:t>
      </w:r>
      <w:r w:rsidRPr="004E3D17">
        <w:rPr>
          <w:i/>
        </w:rPr>
        <w:t>Trichoderma reesei</w:t>
      </w:r>
      <w:r w:rsidR="00D17376">
        <w:t xml:space="preserve"> </w:t>
      </w:r>
      <w:r w:rsidRPr="001C3A1C">
        <w:rPr>
          <w:rFonts w:eastAsia="TimesNewRomanPSMT" w:cs="Arial"/>
          <w:szCs w:val="22"/>
          <w:lang w:eastAsia="en-GB" w:bidi="ar-SA"/>
        </w:rPr>
        <w:t xml:space="preserve">carrying the gene encoding a native </w:t>
      </w:r>
      <w:r w:rsidRPr="001C3A1C">
        <w:rPr>
          <w:rFonts w:eastAsia="TimesNewRomanPSMT" w:cs="Arial"/>
          <w:i/>
          <w:iCs/>
          <w:szCs w:val="22"/>
          <w:lang w:eastAsia="en-GB" w:bidi="ar-SA"/>
        </w:rPr>
        <w:t xml:space="preserve">T. reesei </w:t>
      </w:r>
      <w:r w:rsidRPr="001C3A1C">
        <w:rPr>
          <w:rFonts w:eastAsia="TimesNewRomanPSMT" w:cs="Arial"/>
          <w:szCs w:val="22"/>
          <w:lang w:eastAsia="en-GB" w:bidi="ar-SA"/>
        </w:rPr>
        <w:t xml:space="preserve">protease </w:t>
      </w:r>
      <w:r>
        <w:rPr>
          <w:rFonts w:eastAsia="TimesNewRomanPSMT" w:cs="Arial"/>
          <w:szCs w:val="22"/>
          <w:lang w:eastAsia="en-GB" w:bidi="ar-SA"/>
        </w:rPr>
        <w:t xml:space="preserve">enzyme, </w:t>
      </w:r>
      <w:r w:rsidR="008B6B30">
        <w:rPr>
          <w:rFonts w:eastAsia="TimesNewRomanPSMT" w:cs="Arial"/>
          <w:szCs w:val="22"/>
          <w:lang w:eastAsia="en-GB" w:bidi="ar-SA"/>
        </w:rPr>
        <w:t>Aspergillopepsin I</w:t>
      </w:r>
      <w:r w:rsidRPr="001C3A1C">
        <w:rPr>
          <w:rFonts w:cs="Arial"/>
        </w:rPr>
        <w:t>.</w:t>
      </w:r>
    </w:p>
    <w:p w14:paraId="7F11D21A" w14:textId="37B4FE3F" w:rsidR="001C3A1C" w:rsidRDefault="001C3A1C" w:rsidP="001C3A1C">
      <w:pPr>
        <w:widowControl/>
        <w:autoSpaceDE w:val="0"/>
        <w:autoSpaceDN w:val="0"/>
        <w:adjustRightInd w:val="0"/>
        <w:rPr>
          <w:rFonts w:cs="Arial"/>
        </w:rPr>
      </w:pPr>
    </w:p>
    <w:p w14:paraId="4351CE2A" w14:textId="15076DAE" w:rsidR="00EF044E" w:rsidRDefault="001C3A1C" w:rsidP="00F367C3">
      <w:pPr>
        <w:widowControl/>
        <w:autoSpaceDE w:val="0"/>
        <w:autoSpaceDN w:val="0"/>
        <w:adjustRightInd w:val="0"/>
        <w:rPr>
          <w:rFonts w:eastAsia="Calibri"/>
          <w:lang w:eastAsia="en-AU"/>
        </w:rPr>
      </w:pPr>
      <w:r>
        <w:rPr>
          <w:rFonts w:cs="Arial"/>
        </w:rPr>
        <w:t>If approved</w:t>
      </w:r>
      <w:r w:rsidR="00D67D67">
        <w:rPr>
          <w:rFonts w:cs="Arial"/>
        </w:rPr>
        <w:t>,</w:t>
      </w:r>
      <w:r>
        <w:rPr>
          <w:rFonts w:cs="Arial"/>
        </w:rPr>
        <w:t xml:space="preserve"> AFP will be used in </w:t>
      </w:r>
      <w:r w:rsidR="00D17376">
        <w:rPr>
          <w:rFonts w:cs="Arial"/>
        </w:rPr>
        <w:t xml:space="preserve">the manufacture of </w:t>
      </w:r>
      <w:r w:rsidRPr="001C3A1C">
        <w:rPr>
          <w:rFonts w:cs="Arial"/>
        </w:rPr>
        <w:t xml:space="preserve">potable alcohol and </w:t>
      </w:r>
      <w:r w:rsidR="00D17376">
        <w:rPr>
          <w:rFonts w:cs="Arial"/>
        </w:rPr>
        <w:t>animal and vegetable protein products</w:t>
      </w:r>
      <w:r w:rsidR="00283783">
        <w:rPr>
          <w:rFonts w:cs="Arial"/>
        </w:rPr>
        <w:t>,</w:t>
      </w:r>
      <w:r>
        <w:rPr>
          <w:rFonts w:cs="Arial"/>
        </w:rPr>
        <w:t xml:space="preserve"> </w:t>
      </w:r>
      <w:r w:rsidRPr="006170EC">
        <w:rPr>
          <w:rFonts w:eastAsia="Calibri"/>
          <w:lang w:eastAsia="en-AU"/>
        </w:rPr>
        <w:t>at a level consistent with Good Manufacturing Practice (GMP)</w:t>
      </w:r>
      <w:r w:rsidR="00D17376">
        <w:rPr>
          <w:rFonts w:eastAsia="Calibri"/>
          <w:lang w:eastAsia="en-AU"/>
        </w:rPr>
        <w:t>.</w:t>
      </w:r>
      <w:r w:rsidR="00B4158A">
        <w:rPr>
          <w:rFonts w:eastAsia="Calibri"/>
          <w:lang w:eastAsia="en-AU"/>
        </w:rPr>
        <w:t xml:space="preserve"> </w:t>
      </w:r>
      <w:r w:rsidR="00D17376">
        <w:rPr>
          <w:rFonts w:eastAsia="Calibri"/>
          <w:lang w:eastAsia="en-AU"/>
        </w:rPr>
        <w:t xml:space="preserve">AFP will be used as a processing aid </w:t>
      </w:r>
      <w:r w:rsidR="009C1E49">
        <w:rPr>
          <w:rFonts w:eastAsia="Calibri"/>
          <w:lang w:eastAsia="en-AU"/>
        </w:rPr>
        <w:t xml:space="preserve">at low levels, </w:t>
      </w:r>
      <w:r w:rsidR="00D17376">
        <w:rPr>
          <w:rFonts w:eastAsia="Calibri"/>
          <w:lang w:eastAsia="en-AU"/>
        </w:rPr>
        <w:t>with</w:t>
      </w:r>
      <w:r w:rsidR="00EF044E" w:rsidRPr="006170EC">
        <w:rPr>
          <w:rFonts w:eastAsia="Calibri"/>
          <w:lang w:eastAsia="en-AU"/>
        </w:rPr>
        <w:t xml:space="preserve"> no technical function in the final food. It has been determined GRAS </w:t>
      </w:r>
      <w:r w:rsidR="00D12D5A">
        <w:rPr>
          <w:rFonts w:eastAsia="Calibri"/>
          <w:lang w:eastAsia="en-AU"/>
        </w:rPr>
        <w:t xml:space="preserve">by a panel of scientific experts </w:t>
      </w:r>
      <w:r w:rsidR="00EF044E" w:rsidRPr="006170EC">
        <w:rPr>
          <w:rFonts w:eastAsia="Calibri"/>
          <w:lang w:eastAsia="en-AU"/>
        </w:rPr>
        <w:t xml:space="preserve">in the </w:t>
      </w:r>
      <w:r w:rsidR="00D8096F">
        <w:rPr>
          <w:rFonts w:eastAsia="Calibri"/>
          <w:lang w:eastAsia="en-AU"/>
        </w:rPr>
        <w:t>US</w:t>
      </w:r>
      <w:r w:rsidR="00EF044E" w:rsidRPr="006170EC">
        <w:rPr>
          <w:rFonts w:eastAsia="Calibri"/>
          <w:lang w:eastAsia="en-AU"/>
        </w:rPr>
        <w:t xml:space="preserve"> and is approved in Denmark and France.</w:t>
      </w:r>
    </w:p>
    <w:p w14:paraId="7DD565F0" w14:textId="41B05A2A" w:rsidR="00F271D2" w:rsidRDefault="00F271D2" w:rsidP="00F367C3">
      <w:pPr>
        <w:widowControl/>
        <w:autoSpaceDE w:val="0"/>
        <w:autoSpaceDN w:val="0"/>
        <w:adjustRightInd w:val="0"/>
        <w:rPr>
          <w:rFonts w:cs="Arial"/>
        </w:rPr>
      </w:pPr>
    </w:p>
    <w:p w14:paraId="7B8B2FC2" w14:textId="62598627" w:rsidR="00F271D2" w:rsidRPr="00B659CB" w:rsidRDefault="00F271D2" w:rsidP="00F271D2">
      <w:r>
        <w:t xml:space="preserve">There are </w:t>
      </w:r>
      <w:r w:rsidR="001F72D1">
        <w:t xml:space="preserve">two </w:t>
      </w:r>
      <w:r>
        <w:t xml:space="preserve">permissions for </w:t>
      </w:r>
      <w:r w:rsidR="008B6B30">
        <w:t>Aspergillopepsin I</w:t>
      </w:r>
      <w:r>
        <w:t xml:space="preserve"> </w:t>
      </w:r>
      <w:r w:rsidR="00530714">
        <w:t xml:space="preserve">as a processing aid </w:t>
      </w:r>
      <w:r>
        <w:t xml:space="preserve">in the </w:t>
      </w:r>
      <w:r w:rsidRPr="00A76648">
        <w:t>Australia New Zealand Food Standards Code</w:t>
      </w:r>
      <w:r>
        <w:t xml:space="preserve"> (the Code)</w:t>
      </w:r>
      <w:r w:rsidR="001F72D1">
        <w:t>, ho</w:t>
      </w:r>
      <w:r w:rsidR="00192CD0">
        <w:t>wever</w:t>
      </w:r>
      <w:r>
        <w:t xml:space="preserve"> there is no permission for </w:t>
      </w:r>
      <w:r w:rsidR="008B6B30">
        <w:t>Aspergillopepsin I</w:t>
      </w:r>
      <w:r>
        <w:t xml:space="preserve"> </w:t>
      </w:r>
      <w:r w:rsidRPr="00B659CB">
        <w:t xml:space="preserve">sourced from </w:t>
      </w:r>
      <w:r>
        <w:t xml:space="preserve">a genetically modified strain of </w:t>
      </w:r>
      <w:r>
        <w:rPr>
          <w:i/>
        </w:rPr>
        <w:t xml:space="preserve">T. reesei. </w:t>
      </w:r>
      <w:r>
        <w:t xml:space="preserve">Therefore, </w:t>
      </w:r>
      <w:r w:rsidRPr="00B659CB">
        <w:t xml:space="preserve">any application to amend the Code to permit the use of this enzyme as a food processing aid requires a pre-market </w:t>
      </w:r>
      <w:r w:rsidR="00530714">
        <w:t xml:space="preserve">safety </w:t>
      </w:r>
      <w:r w:rsidRPr="00B659CB">
        <w:t xml:space="preserve">assessment. </w:t>
      </w:r>
    </w:p>
    <w:p w14:paraId="63BE092B" w14:textId="14C70514" w:rsidR="001E6A7B" w:rsidRDefault="00340EB7" w:rsidP="00F367C3">
      <w:pPr>
        <w:pStyle w:val="Heading2"/>
        <w:ind w:left="0" w:firstLine="0"/>
      </w:pPr>
      <w:bookmarkStart w:id="9" w:name="_Toc533087503"/>
      <w:bookmarkStart w:id="10" w:name="_Toc534297196"/>
      <w:r>
        <w:t>1.1</w:t>
      </w:r>
      <w:r>
        <w:tab/>
      </w:r>
      <w:r w:rsidR="001E6A7B" w:rsidRPr="00D410BF">
        <w:t>Objectives</w:t>
      </w:r>
      <w:r w:rsidR="001E6A7B">
        <w:t xml:space="preserve"> of the assessment</w:t>
      </w:r>
      <w:bookmarkEnd w:id="9"/>
      <w:bookmarkEnd w:id="10"/>
    </w:p>
    <w:p w14:paraId="76E6FDC2" w14:textId="615AF86B" w:rsidR="00982038" w:rsidRDefault="00D410BF" w:rsidP="00275C84">
      <w:pPr>
        <w:pStyle w:val="ListParagraph"/>
        <w:spacing w:after="120"/>
        <w:ind w:left="0"/>
        <w:contextualSpacing w:val="0"/>
      </w:pPr>
      <w:r w:rsidRPr="004E3D17">
        <w:t xml:space="preserve">The objectives of this </w:t>
      </w:r>
      <w:r w:rsidR="00747D3B">
        <w:t xml:space="preserve">risk and </w:t>
      </w:r>
      <w:r w:rsidRPr="004E3D17">
        <w:t xml:space="preserve">technical assessment </w:t>
      </w:r>
      <w:r w:rsidR="00747D3B">
        <w:t xml:space="preserve">report </w:t>
      </w:r>
      <w:r w:rsidRPr="004E3D17">
        <w:t>were to:</w:t>
      </w:r>
    </w:p>
    <w:p w14:paraId="3695F344" w14:textId="36124B7E" w:rsidR="00BF0EA0" w:rsidRDefault="00D410BF" w:rsidP="00275C84">
      <w:pPr>
        <w:pStyle w:val="ListParagraph"/>
        <w:numPr>
          <w:ilvl w:val="0"/>
          <w:numId w:val="20"/>
        </w:numPr>
        <w:spacing w:after="120"/>
        <w:ind w:left="567" w:hanging="567"/>
      </w:pPr>
      <w:r w:rsidRPr="004E3D17">
        <w:t xml:space="preserve">determine whether the proposed purpose is clearly stated and that </w:t>
      </w:r>
      <w:r w:rsidR="00FC2B09">
        <w:t>AFP</w:t>
      </w:r>
      <w:r w:rsidRPr="004E3D17">
        <w:t xml:space="preserve"> achieves its technological function in the quantity and form proposed to be used as a food processing aid</w:t>
      </w:r>
    </w:p>
    <w:p w14:paraId="3F68A415" w14:textId="15CBDE41" w:rsidR="00D410BF" w:rsidRPr="004E3D17" w:rsidRDefault="00D410BF" w:rsidP="00275C84">
      <w:pPr>
        <w:pStyle w:val="ListParagraph"/>
        <w:numPr>
          <w:ilvl w:val="0"/>
          <w:numId w:val="20"/>
        </w:numPr>
        <w:spacing w:after="120"/>
        <w:ind w:left="567" w:hanging="567"/>
      </w:pPr>
      <w:r w:rsidRPr="004E3D17">
        <w:t xml:space="preserve">evaluate potential public health and safety </w:t>
      </w:r>
      <w:r w:rsidR="00747D3B">
        <w:t>risks</w:t>
      </w:r>
      <w:r w:rsidR="00747D3B" w:rsidRPr="004E3D17">
        <w:t xml:space="preserve"> </w:t>
      </w:r>
      <w:r w:rsidRPr="004E3D17">
        <w:t>th</w:t>
      </w:r>
      <w:r w:rsidR="001C5888">
        <w:t xml:space="preserve">at may arise from the use of </w:t>
      </w:r>
      <w:r w:rsidR="00FC2B09">
        <w:t xml:space="preserve">AFP in the manufacture of </w:t>
      </w:r>
      <w:r w:rsidR="00FC2B09" w:rsidRPr="001C3A1C">
        <w:t xml:space="preserve">potable alcohol and </w:t>
      </w:r>
      <w:r w:rsidR="00FC2B09">
        <w:t>animal and vegetable protein products</w:t>
      </w:r>
      <w:r w:rsidRPr="00FC7F37">
        <w:t>.</w:t>
      </w:r>
      <w:r w:rsidRPr="004E3D17">
        <w:t xml:space="preserve"> </w:t>
      </w:r>
    </w:p>
    <w:p w14:paraId="5767146C" w14:textId="1C2F71F6" w:rsidR="001E6A7B" w:rsidRDefault="001E6A7B" w:rsidP="000A14E9">
      <w:pPr>
        <w:pStyle w:val="Heading1"/>
        <w:ind w:left="567" w:hanging="567"/>
      </w:pPr>
      <w:bookmarkStart w:id="11" w:name="_Toc533087504"/>
      <w:bookmarkStart w:id="12" w:name="_Toc534297197"/>
      <w:r>
        <w:t>2</w:t>
      </w:r>
      <w:r w:rsidR="000A14E9">
        <w:tab/>
      </w:r>
      <w:r>
        <w:t>Food technology assessment</w:t>
      </w:r>
      <w:bookmarkEnd w:id="11"/>
      <w:bookmarkEnd w:id="12"/>
    </w:p>
    <w:p w14:paraId="28876474" w14:textId="77777777" w:rsidR="001E6A7B" w:rsidRDefault="001E6A7B" w:rsidP="000B5751">
      <w:pPr>
        <w:pStyle w:val="Heading2"/>
      </w:pPr>
      <w:bookmarkStart w:id="13" w:name="_Toc472327044"/>
      <w:bookmarkStart w:id="14" w:name="_Toc501699819"/>
      <w:bookmarkStart w:id="15" w:name="_Toc533087505"/>
      <w:bookmarkStart w:id="16" w:name="_Toc534297198"/>
      <w:r>
        <w:t>2.1</w:t>
      </w:r>
      <w:r>
        <w:tab/>
        <w:t>Characterisation of the enzyme</w:t>
      </w:r>
      <w:bookmarkEnd w:id="13"/>
      <w:bookmarkEnd w:id="14"/>
      <w:bookmarkEnd w:id="15"/>
      <w:bookmarkEnd w:id="16"/>
    </w:p>
    <w:p w14:paraId="6D257B39" w14:textId="524898A7" w:rsidR="001E6A7B" w:rsidRDefault="001E6A7B" w:rsidP="00D15645">
      <w:pPr>
        <w:pStyle w:val="Heading3"/>
      </w:pPr>
      <w:bookmarkStart w:id="17" w:name="_Toc533087506"/>
      <w:bookmarkStart w:id="18" w:name="_Toc534297199"/>
      <w:r>
        <w:t>2.1.1</w:t>
      </w:r>
      <w:r>
        <w:tab/>
        <w:t>Identity of the enzyme</w:t>
      </w:r>
      <w:bookmarkEnd w:id="17"/>
      <w:bookmarkEnd w:id="18"/>
    </w:p>
    <w:p w14:paraId="1AA1855A" w14:textId="5E6F013C" w:rsidR="000D2D82" w:rsidRPr="006170EC" w:rsidRDefault="000D2D82" w:rsidP="00043522">
      <w:pPr>
        <w:widowControl/>
        <w:rPr>
          <w:rFonts w:eastAsia="Calibri"/>
          <w:szCs w:val="22"/>
          <w:lang w:eastAsia="en-AU" w:bidi="ar-SA"/>
        </w:rPr>
      </w:pPr>
      <w:r w:rsidRPr="006170EC">
        <w:rPr>
          <w:rFonts w:eastAsia="Calibri"/>
          <w:szCs w:val="22"/>
          <w:lang w:eastAsia="en-AU" w:bidi="ar-SA"/>
        </w:rPr>
        <w:t>Information regarding the identity of the enzyme provided in the application has been verified using the appropriate internationally accepted reference for enzyme nomenclature, the International Union of Biology and Molecular Biology (</w:t>
      </w:r>
      <w:r w:rsidRPr="00241106">
        <w:rPr>
          <w:rFonts w:eastAsia="Calibri"/>
          <w:szCs w:val="22"/>
          <w:lang w:eastAsia="en-AU" w:bidi="ar-SA"/>
        </w:rPr>
        <w:t>IUBMB</w:t>
      </w:r>
      <w:r w:rsidR="00241106" w:rsidRPr="00241106">
        <w:rPr>
          <w:rFonts w:eastAsia="Calibri"/>
          <w:szCs w:val="22"/>
          <w:lang w:eastAsia="en-AU" w:bidi="ar-SA"/>
        </w:rPr>
        <w:t xml:space="preserve"> 2018</w:t>
      </w:r>
      <w:r w:rsidRPr="006170EC">
        <w:rPr>
          <w:rFonts w:eastAsia="Calibri"/>
          <w:szCs w:val="22"/>
          <w:lang w:eastAsia="en-AU" w:bidi="ar-SA"/>
        </w:rPr>
        <w:t>).</w:t>
      </w:r>
    </w:p>
    <w:p w14:paraId="43A19859" w14:textId="77777777" w:rsidR="0061383B" w:rsidRPr="006E4128" w:rsidRDefault="0061383B" w:rsidP="0061383B">
      <w:pPr>
        <w:rPr>
          <w:lang w:eastAsia="en-AU" w:bidi="ar-S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6144"/>
      </w:tblGrid>
      <w:tr w:rsidR="0061383B" w:rsidRPr="00866B0C" w14:paraId="1C71EC31" w14:textId="77777777" w:rsidTr="000D2D82">
        <w:tc>
          <w:tcPr>
            <w:tcW w:w="1613" w:type="pct"/>
          </w:tcPr>
          <w:p w14:paraId="2A3126B5" w14:textId="7803B541" w:rsidR="0061383B" w:rsidRPr="000D2D82" w:rsidRDefault="000D2D82" w:rsidP="000D2D82">
            <w:pPr>
              <w:rPr>
                <w:b/>
                <w:bCs/>
                <w:i/>
                <w:iCs/>
                <w:lang w:eastAsia="en-AU"/>
              </w:rPr>
            </w:pPr>
            <w:r w:rsidRPr="000D2D82">
              <w:rPr>
                <w:b/>
                <w:bCs/>
                <w:i/>
                <w:iCs/>
                <w:lang w:eastAsia="en-AU"/>
              </w:rPr>
              <w:t>Accepted</w:t>
            </w:r>
            <w:r w:rsidR="0061383B" w:rsidRPr="000D2D82">
              <w:rPr>
                <w:b/>
                <w:bCs/>
                <w:i/>
                <w:iCs/>
                <w:lang w:eastAsia="en-AU"/>
              </w:rPr>
              <w:t xml:space="preserve"> name:</w:t>
            </w:r>
          </w:p>
        </w:tc>
        <w:tc>
          <w:tcPr>
            <w:tcW w:w="3387" w:type="pct"/>
          </w:tcPr>
          <w:p w14:paraId="3AA6AA26" w14:textId="181CB360" w:rsidR="0061383B" w:rsidRDefault="00A86CAC" w:rsidP="00043522">
            <w:pPr>
              <w:rPr>
                <w:bCs/>
                <w:iCs/>
                <w:lang w:eastAsia="en-AU"/>
              </w:rPr>
            </w:pPr>
            <w:r>
              <w:rPr>
                <w:bCs/>
                <w:iCs/>
                <w:lang w:eastAsia="en-AU"/>
              </w:rPr>
              <w:t>A</w:t>
            </w:r>
            <w:r w:rsidRPr="00A86CAC">
              <w:rPr>
                <w:bCs/>
                <w:iCs/>
                <w:lang w:eastAsia="en-AU"/>
              </w:rPr>
              <w:t>spergillopepsin I</w:t>
            </w:r>
          </w:p>
          <w:p w14:paraId="26DA36B8" w14:textId="77777777" w:rsidR="0061383B" w:rsidRPr="00866B0C" w:rsidRDefault="0061383B" w:rsidP="00043522">
            <w:pPr>
              <w:rPr>
                <w:bCs/>
                <w:iCs/>
                <w:lang w:eastAsia="en-AU"/>
              </w:rPr>
            </w:pPr>
          </w:p>
        </w:tc>
      </w:tr>
      <w:tr w:rsidR="000D2D82" w:rsidRPr="00866B0C" w14:paraId="7596A29A" w14:textId="77777777" w:rsidTr="000D2D82">
        <w:tc>
          <w:tcPr>
            <w:tcW w:w="1613" w:type="pct"/>
          </w:tcPr>
          <w:p w14:paraId="31B9E934" w14:textId="754D0965" w:rsidR="000D2D82" w:rsidRPr="000D2D82" w:rsidRDefault="000D2D82" w:rsidP="007666D8">
            <w:pPr>
              <w:rPr>
                <w:b/>
                <w:bCs/>
                <w:i/>
                <w:iCs/>
                <w:lang w:eastAsia="en-AU"/>
              </w:rPr>
            </w:pPr>
            <w:r w:rsidRPr="000D2D82">
              <w:rPr>
                <w:b/>
                <w:bCs/>
                <w:i/>
                <w:iCs/>
                <w:lang w:eastAsia="en-AU"/>
              </w:rPr>
              <w:t>IUBMB</w:t>
            </w:r>
            <w:r w:rsidR="007666D8">
              <w:rPr>
                <w:rStyle w:val="FootnoteReference"/>
                <w:b/>
                <w:bCs/>
                <w:i/>
                <w:iCs/>
                <w:lang w:eastAsia="en-AU"/>
              </w:rPr>
              <w:footnoteReference w:id="2"/>
            </w:r>
            <w:r>
              <w:rPr>
                <w:b/>
                <w:bCs/>
                <w:i/>
                <w:iCs/>
                <w:lang w:eastAsia="en-AU"/>
              </w:rPr>
              <w:t>/EC</w:t>
            </w:r>
            <w:r>
              <w:rPr>
                <w:rStyle w:val="FootnoteReference"/>
                <w:b/>
                <w:bCs/>
                <w:i/>
                <w:iCs/>
                <w:lang w:eastAsia="en-AU"/>
              </w:rPr>
              <w:footnoteReference w:id="3"/>
            </w:r>
            <w:r>
              <w:rPr>
                <w:b/>
                <w:bCs/>
                <w:i/>
                <w:iCs/>
                <w:lang w:eastAsia="en-AU"/>
              </w:rPr>
              <w:t xml:space="preserve"> number</w:t>
            </w:r>
            <w:r w:rsidRPr="000D2D82">
              <w:rPr>
                <w:b/>
                <w:bCs/>
                <w:i/>
                <w:iCs/>
                <w:lang w:eastAsia="en-AU"/>
              </w:rPr>
              <w:t>:</w:t>
            </w:r>
          </w:p>
        </w:tc>
        <w:tc>
          <w:tcPr>
            <w:tcW w:w="3387" w:type="pct"/>
          </w:tcPr>
          <w:p w14:paraId="44344A7B" w14:textId="77777777" w:rsidR="000D2D82" w:rsidRDefault="000D2D82" w:rsidP="00043522">
            <w:pPr>
              <w:rPr>
                <w:bCs/>
                <w:iCs/>
                <w:lang w:eastAsia="en-AU"/>
              </w:rPr>
            </w:pPr>
            <w:r w:rsidRPr="00A86CAC">
              <w:rPr>
                <w:bCs/>
                <w:iCs/>
                <w:lang w:eastAsia="en-AU"/>
              </w:rPr>
              <w:t>3.4.23.18</w:t>
            </w:r>
          </w:p>
          <w:p w14:paraId="251A1B50" w14:textId="77777777" w:rsidR="000D2D82" w:rsidRPr="006E4128" w:rsidRDefault="000D2D82" w:rsidP="00043522">
            <w:pPr>
              <w:rPr>
                <w:bCs/>
                <w:iCs/>
                <w:lang w:eastAsia="en-AU"/>
              </w:rPr>
            </w:pPr>
          </w:p>
        </w:tc>
      </w:tr>
      <w:tr w:rsidR="000D2D82" w:rsidRPr="00866B0C" w14:paraId="4E5980D5" w14:textId="77777777" w:rsidTr="000D2D82">
        <w:tc>
          <w:tcPr>
            <w:tcW w:w="1613" w:type="pct"/>
          </w:tcPr>
          <w:p w14:paraId="2EE8E648" w14:textId="6E11182B" w:rsidR="000D2D82" w:rsidRPr="000D2D82" w:rsidRDefault="000D2D82" w:rsidP="00043522">
            <w:pPr>
              <w:rPr>
                <w:b/>
                <w:bCs/>
                <w:i/>
                <w:iCs/>
                <w:lang w:eastAsia="en-AU"/>
              </w:rPr>
            </w:pPr>
            <w:r w:rsidRPr="000D2D82">
              <w:rPr>
                <w:b/>
                <w:bCs/>
                <w:i/>
                <w:iCs/>
                <w:lang w:eastAsia="en-AU"/>
              </w:rPr>
              <w:t>CAS registry number</w:t>
            </w:r>
            <w:r w:rsidR="00241106">
              <w:rPr>
                <w:rStyle w:val="FootnoteReference"/>
                <w:b/>
                <w:bCs/>
                <w:i/>
                <w:iCs/>
                <w:lang w:eastAsia="en-AU"/>
              </w:rPr>
              <w:footnoteReference w:id="4"/>
            </w:r>
            <w:r w:rsidRPr="000D2D82">
              <w:rPr>
                <w:b/>
                <w:bCs/>
                <w:i/>
                <w:iCs/>
                <w:lang w:eastAsia="en-AU"/>
              </w:rPr>
              <w:t xml:space="preserve">: </w:t>
            </w:r>
          </w:p>
        </w:tc>
        <w:tc>
          <w:tcPr>
            <w:tcW w:w="3387" w:type="pct"/>
          </w:tcPr>
          <w:p w14:paraId="37D72735" w14:textId="77777777" w:rsidR="000D2D82" w:rsidRPr="002F041E" w:rsidRDefault="000D2D82" w:rsidP="00043522">
            <w:pPr>
              <w:rPr>
                <w:bCs/>
                <w:iCs/>
                <w:lang w:eastAsia="en-AU"/>
              </w:rPr>
            </w:pPr>
            <w:r w:rsidRPr="00A86CAC">
              <w:rPr>
                <w:bCs/>
                <w:iCs/>
                <w:lang w:eastAsia="en-AU"/>
              </w:rPr>
              <w:t>9025-49-4</w:t>
            </w:r>
          </w:p>
          <w:p w14:paraId="5407E7EE" w14:textId="77777777" w:rsidR="000D2D82" w:rsidRPr="00866B0C" w:rsidRDefault="000D2D82" w:rsidP="00043522">
            <w:pPr>
              <w:rPr>
                <w:bCs/>
                <w:iCs/>
                <w:lang w:eastAsia="en-AU"/>
              </w:rPr>
            </w:pPr>
          </w:p>
        </w:tc>
      </w:tr>
      <w:tr w:rsidR="0061383B" w:rsidRPr="00866B0C" w14:paraId="47650976" w14:textId="77777777" w:rsidTr="000D2D82">
        <w:trPr>
          <w:trHeight w:val="604"/>
        </w:trPr>
        <w:tc>
          <w:tcPr>
            <w:tcW w:w="1613" w:type="pct"/>
          </w:tcPr>
          <w:p w14:paraId="597EC1E1" w14:textId="77777777" w:rsidR="0061383B" w:rsidRPr="000D2D82" w:rsidRDefault="0061383B" w:rsidP="00043522">
            <w:pPr>
              <w:rPr>
                <w:b/>
                <w:bCs/>
                <w:i/>
                <w:iCs/>
                <w:lang w:eastAsia="en-AU"/>
              </w:rPr>
            </w:pPr>
            <w:r w:rsidRPr="000D2D82">
              <w:rPr>
                <w:b/>
                <w:bCs/>
                <w:i/>
                <w:iCs/>
                <w:lang w:eastAsia="en-AU"/>
              </w:rPr>
              <w:lastRenderedPageBreak/>
              <w:t>Common names:</w:t>
            </w:r>
          </w:p>
        </w:tc>
        <w:tc>
          <w:tcPr>
            <w:tcW w:w="3387" w:type="pct"/>
          </w:tcPr>
          <w:p w14:paraId="6EE0C9C6" w14:textId="2C48A5D3" w:rsidR="0061383B" w:rsidRPr="00612A98" w:rsidRDefault="00612A98" w:rsidP="00043522">
            <w:pPr>
              <w:rPr>
                <w:bCs/>
                <w:iCs/>
                <w:szCs w:val="20"/>
                <w:lang w:eastAsia="en-AU"/>
              </w:rPr>
            </w:pPr>
            <w:r w:rsidRPr="00612A98">
              <w:rPr>
                <w:bCs/>
                <w:iCs/>
                <w:szCs w:val="20"/>
                <w:lang w:eastAsia="en-AU"/>
              </w:rPr>
              <w:t>Aspergillus acid protease; Aspergillus acid proteinase; Aspergillus aspartic proteinase; Aspergillus awamori acid proteinase; Aspergillus carboxyl proteinase; carboxyl proteinase; Aspergillus kawachii aspartic proteinase; Aspergillus saitoi acid proteinase; pepsin-type aspartic proteinase; Aspergillus niger acid proteinase; sumizyme AP; proctase P; denapsin; denapsin XP 271; proctase</w:t>
            </w:r>
          </w:p>
          <w:p w14:paraId="40A9A67E" w14:textId="77777777" w:rsidR="0061383B" w:rsidRPr="00612A98" w:rsidRDefault="0061383B" w:rsidP="00043522">
            <w:pPr>
              <w:rPr>
                <w:bCs/>
                <w:iCs/>
                <w:lang w:eastAsia="en-AU"/>
              </w:rPr>
            </w:pPr>
          </w:p>
        </w:tc>
      </w:tr>
      <w:tr w:rsidR="0061383B" w:rsidRPr="00866B0C" w14:paraId="28F62F8E" w14:textId="77777777" w:rsidTr="000D2D82">
        <w:tc>
          <w:tcPr>
            <w:tcW w:w="1613" w:type="pct"/>
          </w:tcPr>
          <w:p w14:paraId="49606377" w14:textId="77777777" w:rsidR="0061383B" w:rsidRPr="000D2D82" w:rsidRDefault="0061383B" w:rsidP="00043522">
            <w:pPr>
              <w:rPr>
                <w:b/>
                <w:bCs/>
                <w:i/>
                <w:iCs/>
                <w:lang w:eastAsia="en-AU"/>
              </w:rPr>
            </w:pPr>
            <w:r w:rsidRPr="000D2D82">
              <w:rPr>
                <w:b/>
                <w:bCs/>
                <w:i/>
                <w:iCs/>
                <w:lang w:eastAsia="en-AU"/>
              </w:rPr>
              <w:t>Reaction:</w:t>
            </w:r>
          </w:p>
        </w:tc>
        <w:tc>
          <w:tcPr>
            <w:tcW w:w="3387" w:type="pct"/>
          </w:tcPr>
          <w:p w14:paraId="11D4BA27" w14:textId="68414153" w:rsidR="0061383B" w:rsidRPr="002F041E" w:rsidRDefault="00A86CAC" w:rsidP="00043522">
            <w:pPr>
              <w:rPr>
                <w:bCs/>
                <w:iCs/>
                <w:lang w:eastAsia="en-AU"/>
              </w:rPr>
            </w:pPr>
            <w:r w:rsidRPr="00A86CAC">
              <w:rPr>
                <w:bCs/>
                <w:iCs/>
                <w:lang w:eastAsia="en-AU"/>
              </w:rPr>
              <w:t>Hydrolysis of proteins with broad specificity</w:t>
            </w:r>
          </w:p>
        </w:tc>
      </w:tr>
    </w:tbl>
    <w:p w14:paraId="70B813EA" w14:textId="01A4BE9C" w:rsidR="00A13C55" w:rsidRDefault="00A13C55" w:rsidP="00691270"/>
    <w:p w14:paraId="28310CF6" w14:textId="4D94EFF3" w:rsidR="000D2D82" w:rsidRDefault="00BF47DA" w:rsidP="00691270">
      <w:r w:rsidRPr="00BF47DA">
        <w:t>The commercial enzyme preparation is a brown liquid.</w:t>
      </w:r>
      <w:r>
        <w:t xml:space="preserve"> </w:t>
      </w:r>
      <w:r w:rsidRPr="00BF47DA">
        <w:t>The carrier for the liquid preparation is glycerol and water.</w:t>
      </w:r>
    </w:p>
    <w:p w14:paraId="28AF358A" w14:textId="37170BFE" w:rsidR="00A13C55" w:rsidRDefault="001E6A7B" w:rsidP="00D15645">
      <w:pPr>
        <w:pStyle w:val="Heading3"/>
      </w:pPr>
      <w:bookmarkStart w:id="19" w:name="_Toc533087507"/>
      <w:bookmarkStart w:id="20" w:name="_Toc534297200"/>
      <w:r>
        <w:t>2.1.2</w:t>
      </w:r>
      <w:r>
        <w:tab/>
        <w:t>Technological purpose of the enzyme</w:t>
      </w:r>
      <w:bookmarkEnd w:id="19"/>
      <w:bookmarkEnd w:id="20"/>
      <w:r w:rsidR="00A13C55">
        <w:t xml:space="preserve"> </w:t>
      </w:r>
    </w:p>
    <w:p w14:paraId="487C61A5" w14:textId="77777777" w:rsidR="00BE43C9" w:rsidRDefault="007A2BEB" w:rsidP="00BE43C9">
      <w:r>
        <w:t>A</w:t>
      </w:r>
      <w:r w:rsidR="000D2D82" w:rsidRPr="000D2D82">
        <w:t>spergillopepsin I</w:t>
      </w:r>
      <w:r w:rsidR="00314167">
        <w:t xml:space="preserve"> </w:t>
      </w:r>
      <w:r w:rsidR="00BB60A0">
        <w:t>catalyse</w:t>
      </w:r>
      <w:r>
        <w:t>s</w:t>
      </w:r>
      <w:r w:rsidR="00314167">
        <w:t xml:space="preserve"> the hydrolysis of </w:t>
      </w:r>
      <w:r w:rsidR="000D2D82">
        <w:t>proteins with broad specificity</w:t>
      </w:r>
      <w:r w:rsidR="00EB48A0">
        <w:t xml:space="preserve"> (</w:t>
      </w:r>
      <w:r w:rsidR="00EB48A0" w:rsidRPr="009B2A55">
        <w:t>IUBMB 201</w:t>
      </w:r>
      <w:r w:rsidR="00955B47" w:rsidRPr="009B2A55">
        <w:t>8</w:t>
      </w:r>
      <w:r w:rsidR="00EB48A0" w:rsidRPr="009B2A55">
        <w:t>)</w:t>
      </w:r>
      <w:r w:rsidR="00BB60A0" w:rsidRPr="00BB60A0">
        <w:t xml:space="preserve">. </w:t>
      </w:r>
    </w:p>
    <w:p w14:paraId="1A9899E3" w14:textId="77777777" w:rsidR="00BE43C9" w:rsidRDefault="00BE43C9" w:rsidP="00BE43C9">
      <w:pPr>
        <w:rPr>
          <w:lang w:eastAsia="en-AU" w:bidi="ar-SA"/>
        </w:rPr>
      </w:pPr>
    </w:p>
    <w:p w14:paraId="6891E60B" w14:textId="310CF119" w:rsidR="007248A2" w:rsidRDefault="0090347F" w:rsidP="001B2B19">
      <w:pPr>
        <w:rPr>
          <w:lang w:eastAsia="en-AU"/>
        </w:rPr>
      </w:pPr>
      <w:r>
        <w:rPr>
          <w:lang w:eastAsia="en-AU" w:bidi="ar-SA"/>
        </w:rPr>
        <w:t xml:space="preserve">The </w:t>
      </w:r>
      <w:r w:rsidR="00FD663F">
        <w:rPr>
          <w:lang w:eastAsia="en-AU" w:bidi="ar-SA"/>
        </w:rPr>
        <w:t>action</w:t>
      </w:r>
      <w:r w:rsidR="007A2BEB">
        <w:rPr>
          <w:lang w:eastAsia="en-AU" w:bidi="ar-SA"/>
        </w:rPr>
        <w:t xml:space="preserve"> of AFP </w:t>
      </w:r>
      <w:r>
        <w:rPr>
          <w:lang w:eastAsia="en-AU" w:bidi="ar-SA"/>
        </w:rPr>
        <w:t xml:space="preserve">in the </w:t>
      </w:r>
      <w:r w:rsidR="007A2BEB">
        <w:rPr>
          <w:lang w:eastAsia="en-AU" w:bidi="ar-SA"/>
        </w:rPr>
        <w:t xml:space="preserve">manufacture of </w:t>
      </w:r>
      <w:r w:rsidR="008F1293">
        <w:rPr>
          <w:lang w:eastAsia="en-AU" w:bidi="ar-SA"/>
        </w:rPr>
        <w:t xml:space="preserve">potable alcohol </w:t>
      </w:r>
      <w:r w:rsidR="007248A2">
        <w:rPr>
          <w:lang w:eastAsia="en-AU" w:bidi="ar-SA"/>
        </w:rPr>
        <w:t xml:space="preserve">is </w:t>
      </w:r>
      <w:r w:rsidR="00AE232D">
        <w:rPr>
          <w:lang w:eastAsia="en-AU"/>
        </w:rPr>
        <w:t xml:space="preserve">the hydrolysis </w:t>
      </w:r>
      <w:r w:rsidR="001B2B19" w:rsidRPr="001B2B19">
        <w:rPr>
          <w:lang w:eastAsia="en-AU"/>
        </w:rPr>
        <w:t xml:space="preserve">of cereal proteins </w:t>
      </w:r>
      <w:r w:rsidR="007248A2">
        <w:rPr>
          <w:lang w:eastAsia="en-AU"/>
        </w:rPr>
        <w:t xml:space="preserve">for improved </w:t>
      </w:r>
      <w:r w:rsidR="002D409B">
        <w:rPr>
          <w:lang w:eastAsia="en-AU"/>
        </w:rPr>
        <w:t>fermentation.</w:t>
      </w:r>
    </w:p>
    <w:p w14:paraId="66E24ADA" w14:textId="77777777" w:rsidR="007248A2" w:rsidRDefault="007248A2" w:rsidP="001B2B19">
      <w:pPr>
        <w:rPr>
          <w:lang w:eastAsia="en-AU"/>
        </w:rPr>
      </w:pPr>
    </w:p>
    <w:p w14:paraId="0F97DA50" w14:textId="36CF473C" w:rsidR="002D409B" w:rsidRDefault="002D409B" w:rsidP="001B2B19">
      <w:pPr>
        <w:rPr>
          <w:lang w:eastAsia="en-AU" w:bidi="ar-SA"/>
        </w:rPr>
      </w:pPr>
      <w:r>
        <w:rPr>
          <w:lang w:eastAsia="en-AU" w:bidi="ar-SA"/>
        </w:rPr>
        <w:t xml:space="preserve">In the manufacture of animal and vegetable protein products, AFP hydrolyses </w:t>
      </w:r>
      <w:r w:rsidR="007A2BEB">
        <w:rPr>
          <w:lang w:eastAsia="en-AU" w:bidi="ar-SA"/>
        </w:rPr>
        <w:t>protein</w:t>
      </w:r>
      <w:r>
        <w:rPr>
          <w:lang w:eastAsia="en-AU" w:bidi="ar-SA"/>
        </w:rPr>
        <w:t>s (e.g. casein, whey, soy, pea, wheat) into peptides</w:t>
      </w:r>
      <w:r w:rsidR="007248A2">
        <w:rPr>
          <w:lang w:eastAsia="en-AU" w:bidi="ar-SA"/>
        </w:rPr>
        <w:t xml:space="preserve"> with improved functional properties</w:t>
      </w:r>
      <w:r>
        <w:rPr>
          <w:lang w:eastAsia="en-AU" w:bidi="ar-SA"/>
        </w:rPr>
        <w:t>.</w:t>
      </w:r>
      <w:r w:rsidR="001B2B19">
        <w:rPr>
          <w:lang w:eastAsia="en-AU" w:bidi="ar-SA"/>
        </w:rPr>
        <w:t xml:space="preserve"> </w:t>
      </w:r>
    </w:p>
    <w:p w14:paraId="48EC9FDD" w14:textId="5F4AA7CB" w:rsidR="006A1413" w:rsidRDefault="006A1413" w:rsidP="001B2B19">
      <w:pPr>
        <w:rPr>
          <w:lang w:eastAsia="en-AU" w:bidi="ar-SA"/>
        </w:rPr>
      </w:pPr>
    </w:p>
    <w:p w14:paraId="4E13FA1A" w14:textId="77252912" w:rsidR="006A1413" w:rsidRDefault="006A1413" w:rsidP="001B2B19">
      <w:pPr>
        <w:rPr>
          <w:lang w:eastAsia="en-AU" w:bidi="ar-SA"/>
        </w:rPr>
      </w:pPr>
      <w:r>
        <w:t xml:space="preserve">AFP </w:t>
      </w:r>
      <w:r w:rsidRPr="00222AFC">
        <w:t>performs its technological purpose during pro</w:t>
      </w:r>
      <w:r>
        <w:t>duction</w:t>
      </w:r>
      <w:r w:rsidRPr="00222AFC">
        <w:t xml:space="preserve"> and manufacture of food</w:t>
      </w:r>
      <w:r>
        <w:t>s</w:t>
      </w:r>
      <w:r w:rsidRPr="00222AFC">
        <w:t xml:space="preserve"> after which it is inactivated </w:t>
      </w:r>
      <w:r w:rsidR="00747D3B">
        <w:t>therefore</w:t>
      </w:r>
      <w:r w:rsidR="00747D3B" w:rsidRPr="00222AFC">
        <w:t xml:space="preserve"> </w:t>
      </w:r>
      <w:r w:rsidRPr="00222AFC">
        <w:t>not perform</w:t>
      </w:r>
      <w:r>
        <w:t>ing</w:t>
      </w:r>
      <w:r w:rsidRPr="00222AFC">
        <w:t xml:space="preserve"> a technological function in the final food.</w:t>
      </w:r>
    </w:p>
    <w:p w14:paraId="3FB2EED1" w14:textId="4B586532" w:rsidR="001E6A7B" w:rsidRDefault="001E6A7B" w:rsidP="00D15645">
      <w:pPr>
        <w:pStyle w:val="Heading3"/>
      </w:pPr>
      <w:bookmarkStart w:id="21" w:name="_Toc533087508"/>
      <w:bookmarkStart w:id="22" w:name="_Toc534297201"/>
      <w:r>
        <w:t>2.1.</w:t>
      </w:r>
      <w:r w:rsidR="006C0E66">
        <w:t>3</w:t>
      </w:r>
      <w:r>
        <w:tab/>
        <w:t>Technological justification of the enzyme</w:t>
      </w:r>
      <w:bookmarkEnd w:id="21"/>
      <w:bookmarkEnd w:id="22"/>
    </w:p>
    <w:p w14:paraId="091E96D5" w14:textId="790E4E05" w:rsidR="00691270" w:rsidRDefault="00194A1B" w:rsidP="00194A1B">
      <w:pPr>
        <w:rPr>
          <w:lang w:eastAsia="en-AU" w:bidi="ar-SA"/>
        </w:rPr>
      </w:pPr>
      <w:r w:rsidRPr="00194A1B">
        <w:rPr>
          <w:lang w:eastAsia="en-AU" w:bidi="ar-SA"/>
        </w:rPr>
        <w:t>Enzyme preparations are widely used as processing aids in the manufacture of food</w:t>
      </w:r>
      <w:r w:rsidR="00AA4C55">
        <w:rPr>
          <w:lang w:eastAsia="en-AU" w:bidi="ar-SA"/>
        </w:rPr>
        <w:t>s and beverages</w:t>
      </w:r>
      <w:r>
        <w:rPr>
          <w:lang w:eastAsia="en-AU" w:bidi="ar-SA"/>
        </w:rPr>
        <w:t>.</w:t>
      </w:r>
      <w:r w:rsidRPr="00194A1B">
        <w:rPr>
          <w:lang w:eastAsia="en-AU" w:bidi="ar-SA"/>
        </w:rPr>
        <w:t xml:space="preserve"> Aspergillopepsin I (3.4.23.18)</w:t>
      </w:r>
      <w:r w:rsidR="00AA4C55">
        <w:rPr>
          <w:lang w:eastAsia="en-AU" w:bidi="ar-SA"/>
        </w:rPr>
        <w:t>,</w:t>
      </w:r>
      <w:r w:rsidRPr="00194A1B">
        <w:rPr>
          <w:lang w:eastAsia="en-AU" w:bidi="ar-SA"/>
        </w:rPr>
        <w:t xml:space="preserve"> </w:t>
      </w:r>
      <w:r w:rsidR="00AA4C55">
        <w:rPr>
          <w:lang w:eastAsia="en-AU" w:bidi="ar-SA"/>
        </w:rPr>
        <w:t xml:space="preserve">from two different microbial </w:t>
      </w:r>
      <w:r w:rsidR="00B30CFE">
        <w:rPr>
          <w:lang w:eastAsia="en-AU" w:bidi="ar-SA"/>
        </w:rPr>
        <w:t>sources</w:t>
      </w:r>
      <w:r w:rsidR="00AA4C55">
        <w:rPr>
          <w:lang w:eastAsia="en-AU" w:bidi="ar-SA"/>
        </w:rPr>
        <w:t xml:space="preserve">, </w:t>
      </w:r>
      <w:r w:rsidRPr="00194A1B">
        <w:rPr>
          <w:lang w:eastAsia="en-AU" w:bidi="ar-SA"/>
        </w:rPr>
        <w:t>is already permitted in Schedule 18</w:t>
      </w:r>
      <w:r w:rsidR="00E76D9B">
        <w:rPr>
          <w:lang w:eastAsia="en-AU" w:bidi="ar-SA"/>
        </w:rPr>
        <w:t>—</w:t>
      </w:r>
      <w:r w:rsidRPr="00194A1B">
        <w:rPr>
          <w:lang w:eastAsia="en-AU" w:bidi="ar-SA"/>
        </w:rPr>
        <w:t>4</w:t>
      </w:r>
      <w:r w:rsidR="00B15FD9">
        <w:rPr>
          <w:lang w:eastAsia="en-AU" w:bidi="ar-SA"/>
        </w:rPr>
        <w:t>(5)</w:t>
      </w:r>
      <w:r w:rsidRPr="00194A1B">
        <w:rPr>
          <w:lang w:eastAsia="en-AU" w:bidi="ar-SA"/>
        </w:rPr>
        <w:t xml:space="preserve"> </w:t>
      </w:r>
      <w:r w:rsidR="007D7491">
        <w:rPr>
          <w:lang w:eastAsia="en-AU" w:bidi="ar-SA"/>
        </w:rPr>
        <w:t xml:space="preserve">of the Code </w:t>
      </w:r>
      <w:r w:rsidRPr="00194A1B">
        <w:rPr>
          <w:lang w:eastAsia="en-AU" w:bidi="ar-SA"/>
        </w:rPr>
        <w:t xml:space="preserve">but </w:t>
      </w:r>
      <w:r w:rsidR="008B6B30">
        <w:rPr>
          <w:lang w:eastAsia="en-AU" w:bidi="ar-SA"/>
        </w:rPr>
        <w:t>Aspergillopepsin I</w:t>
      </w:r>
      <w:r w:rsidR="00AA4C55" w:rsidRPr="00194A1B">
        <w:rPr>
          <w:lang w:eastAsia="en-AU" w:bidi="ar-SA"/>
        </w:rPr>
        <w:t xml:space="preserve"> </w:t>
      </w:r>
      <w:r w:rsidRPr="00194A1B">
        <w:rPr>
          <w:lang w:eastAsia="en-AU" w:bidi="ar-SA"/>
        </w:rPr>
        <w:t xml:space="preserve">from </w:t>
      </w:r>
      <w:r w:rsidRPr="00EE0553">
        <w:rPr>
          <w:i/>
          <w:lang w:eastAsia="en-AU" w:bidi="ar-SA"/>
        </w:rPr>
        <w:t>T. reesei</w:t>
      </w:r>
      <w:r w:rsidR="00AA4C55">
        <w:rPr>
          <w:i/>
          <w:lang w:eastAsia="en-AU" w:bidi="ar-SA"/>
        </w:rPr>
        <w:t xml:space="preserve"> </w:t>
      </w:r>
      <w:r w:rsidR="00AA4C55">
        <w:rPr>
          <w:lang w:eastAsia="en-AU" w:bidi="ar-SA"/>
        </w:rPr>
        <w:t>is not</w:t>
      </w:r>
      <w:r w:rsidRPr="00194A1B">
        <w:rPr>
          <w:lang w:eastAsia="en-AU" w:bidi="ar-SA"/>
        </w:rPr>
        <w:t xml:space="preserve">. </w:t>
      </w:r>
      <w:r w:rsidRPr="00EE0553">
        <w:rPr>
          <w:i/>
          <w:lang w:eastAsia="en-AU" w:bidi="ar-SA"/>
        </w:rPr>
        <w:t>T</w:t>
      </w:r>
      <w:r w:rsidR="00747D3B" w:rsidRPr="00EE0553">
        <w:rPr>
          <w:i/>
          <w:lang w:eastAsia="en-AU" w:bidi="ar-SA"/>
        </w:rPr>
        <w:t>.</w:t>
      </w:r>
      <w:r w:rsidR="00747D3B">
        <w:rPr>
          <w:i/>
          <w:lang w:eastAsia="en-AU" w:bidi="ar-SA"/>
        </w:rPr>
        <w:t> </w:t>
      </w:r>
      <w:r w:rsidRPr="00EE0553">
        <w:rPr>
          <w:i/>
          <w:lang w:eastAsia="en-AU" w:bidi="ar-SA"/>
        </w:rPr>
        <w:t>reesei</w:t>
      </w:r>
      <w:r w:rsidRPr="00194A1B">
        <w:rPr>
          <w:lang w:eastAsia="en-AU" w:bidi="ar-SA"/>
        </w:rPr>
        <w:t xml:space="preserve"> is currently listed in Schedule 18 as a source organism for </w:t>
      </w:r>
      <w:r w:rsidR="00AA4C55">
        <w:rPr>
          <w:lang w:eastAsia="en-AU" w:bidi="ar-SA"/>
        </w:rPr>
        <w:t>a number of o</w:t>
      </w:r>
      <w:r w:rsidRPr="00194A1B">
        <w:rPr>
          <w:lang w:eastAsia="en-AU" w:bidi="ar-SA"/>
        </w:rPr>
        <w:t>ther processing aids including Cellulase (EC 3.2.1.4), Endo-1,4-beta-xylanase (EC 3.2.1.8) and β-Glucanase (EC 3.2.1.6).</w:t>
      </w:r>
      <w:r w:rsidR="00D728EC">
        <w:rPr>
          <w:lang w:eastAsia="en-AU" w:bidi="ar-SA"/>
        </w:rPr>
        <w:t xml:space="preserve"> Permitting </w:t>
      </w:r>
      <w:r w:rsidR="003F3F14">
        <w:rPr>
          <w:lang w:eastAsia="en-AU" w:bidi="ar-SA"/>
        </w:rPr>
        <w:t xml:space="preserve">AFP </w:t>
      </w:r>
      <w:r w:rsidR="00D728EC">
        <w:rPr>
          <w:lang w:eastAsia="en-AU" w:bidi="ar-SA"/>
        </w:rPr>
        <w:t xml:space="preserve">provides </w:t>
      </w:r>
      <w:r w:rsidR="007248A2">
        <w:rPr>
          <w:lang w:eastAsia="en-AU" w:bidi="ar-SA"/>
        </w:rPr>
        <w:t xml:space="preserve">manufacturers of </w:t>
      </w:r>
      <w:r>
        <w:rPr>
          <w:lang w:eastAsia="en-AU" w:bidi="ar-SA"/>
        </w:rPr>
        <w:t xml:space="preserve">potable alcohol and </w:t>
      </w:r>
      <w:r w:rsidR="007248A2">
        <w:rPr>
          <w:lang w:eastAsia="en-AU" w:bidi="ar-SA"/>
        </w:rPr>
        <w:t xml:space="preserve">animal and vegetable </w:t>
      </w:r>
      <w:r>
        <w:rPr>
          <w:lang w:eastAsia="en-AU" w:bidi="ar-SA"/>
        </w:rPr>
        <w:t xml:space="preserve">protein </w:t>
      </w:r>
      <w:r w:rsidR="00AA4C55">
        <w:rPr>
          <w:lang w:eastAsia="en-AU" w:bidi="ar-SA"/>
        </w:rPr>
        <w:t>product</w:t>
      </w:r>
      <w:r w:rsidR="007248A2">
        <w:rPr>
          <w:lang w:eastAsia="en-AU" w:bidi="ar-SA"/>
        </w:rPr>
        <w:t>s</w:t>
      </w:r>
      <w:r w:rsidR="00D728EC">
        <w:rPr>
          <w:lang w:eastAsia="en-AU" w:bidi="ar-SA"/>
        </w:rPr>
        <w:t xml:space="preserve"> with an alternative commercial source of the enzyme. </w:t>
      </w:r>
      <w:r w:rsidR="008A4CB7">
        <w:rPr>
          <w:lang w:eastAsia="en-AU" w:bidi="ar-SA"/>
        </w:rPr>
        <w:t>The</w:t>
      </w:r>
      <w:r w:rsidR="00D728EC">
        <w:rPr>
          <w:lang w:eastAsia="en-AU" w:bidi="ar-SA"/>
        </w:rPr>
        <w:t xml:space="preserve"> enzyme </w:t>
      </w:r>
      <w:r w:rsidR="008A4CB7">
        <w:rPr>
          <w:lang w:eastAsia="en-AU" w:bidi="ar-SA"/>
        </w:rPr>
        <w:t xml:space="preserve">chosen by food and beverage manufacturers </w:t>
      </w:r>
      <w:r w:rsidR="00D728EC">
        <w:rPr>
          <w:lang w:eastAsia="en-AU" w:bidi="ar-SA"/>
        </w:rPr>
        <w:t xml:space="preserve">will depend on a range of commercial considerations including performance in the production of their products and </w:t>
      </w:r>
      <w:r w:rsidR="00A31438">
        <w:rPr>
          <w:lang w:eastAsia="en-AU" w:bidi="ar-SA"/>
        </w:rPr>
        <w:t xml:space="preserve">economic factors. </w:t>
      </w:r>
    </w:p>
    <w:p w14:paraId="2CA89E01" w14:textId="2E7A5C84" w:rsidR="00A31438" w:rsidRDefault="00A31438" w:rsidP="00691270">
      <w:pPr>
        <w:rPr>
          <w:lang w:eastAsia="en-AU" w:bidi="ar-SA"/>
        </w:rPr>
      </w:pPr>
    </w:p>
    <w:p w14:paraId="7B7833C2" w14:textId="13A9F671" w:rsidR="0090506F" w:rsidRDefault="008A4CB7" w:rsidP="006E6B57">
      <w:pPr>
        <w:spacing w:after="120"/>
        <w:rPr>
          <w:lang w:eastAsia="en-AU"/>
        </w:rPr>
      </w:pPr>
      <w:r w:rsidRPr="008A4CB7">
        <w:rPr>
          <w:lang w:eastAsia="en-AU"/>
        </w:rPr>
        <w:t xml:space="preserve">The technological justification for using </w:t>
      </w:r>
      <w:r w:rsidR="0090506F">
        <w:rPr>
          <w:lang w:eastAsia="en-AU"/>
        </w:rPr>
        <w:t>AFP in potable alcohol production</w:t>
      </w:r>
      <w:r w:rsidRPr="008A4CB7">
        <w:rPr>
          <w:lang w:eastAsia="en-AU"/>
        </w:rPr>
        <w:t xml:space="preserve">, as indicated by the application, is that it </w:t>
      </w:r>
      <w:r w:rsidR="0090506F">
        <w:rPr>
          <w:lang w:eastAsia="en-AU"/>
        </w:rPr>
        <w:t>hydrolyses cereal grains</w:t>
      </w:r>
      <w:r w:rsidRPr="008A4CB7">
        <w:rPr>
          <w:lang w:eastAsia="en-AU"/>
        </w:rPr>
        <w:t xml:space="preserve"> to produce benefits such as: </w:t>
      </w:r>
    </w:p>
    <w:p w14:paraId="757FCAC6" w14:textId="3CC5BDD3" w:rsidR="0090506F" w:rsidRDefault="008B6B30" w:rsidP="006E6B57">
      <w:pPr>
        <w:pStyle w:val="ListParagraph"/>
        <w:numPr>
          <w:ilvl w:val="0"/>
          <w:numId w:val="20"/>
        </w:numPr>
        <w:spacing w:after="120"/>
        <w:ind w:left="567" w:hanging="567"/>
      </w:pPr>
      <w:r>
        <w:t xml:space="preserve">faster fermentation rates providing </w:t>
      </w:r>
      <w:r w:rsidR="0090506F">
        <w:t xml:space="preserve">higher yields </w:t>
      </w:r>
      <w:r w:rsidR="006A1413">
        <w:t>(Figure 1)</w:t>
      </w:r>
    </w:p>
    <w:p w14:paraId="0DBC584C" w14:textId="63FCD4E2" w:rsidR="0090506F" w:rsidRDefault="0090506F" w:rsidP="006E6B57">
      <w:pPr>
        <w:pStyle w:val="ListParagraph"/>
        <w:numPr>
          <w:ilvl w:val="0"/>
          <w:numId w:val="20"/>
        </w:numPr>
        <w:spacing w:after="120"/>
        <w:ind w:left="567" w:hanging="567"/>
      </w:pPr>
      <w:r>
        <w:t>increased availability of starch for hydrolysis</w:t>
      </w:r>
    </w:p>
    <w:p w14:paraId="53D711D5" w14:textId="4B9F6939" w:rsidR="0090506F" w:rsidRDefault="0090506F" w:rsidP="006E6B57">
      <w:pPr>
        <w:pStyle w:val="ListParagraph"/>
        <w:numPr>
          <w:ilvl w:val="0"/>
          <w:numId w:val="20"/>
        </w:numPr>
        <w:spacing w:after="120"/>
        <w:ind w:left="567" w:hanging="567"/>
      </w:pPr>
      <w:r>
        <w:t>i</w:t>
      </w:r>
      <w:r w:rsidRPr="003F3F14">
        <w:t>ncreas</w:t>
      </w:r>
      <w:r>
        <w:t>ed</w:t>
      </w:r>
      <w:r w:rsidRPr="003F3F14">
        <w:t xml:space="preserve"> </w:t>
      </w:r>
      <w:r>
        <w:t>r</w:t>
      </w:r>
      <w:r w:rsidRPr="003F3F14">
        <w:t>ate of yeast prop</w:t>
      </w:r>
      <w:r>
        <w:t>a</w:t>
      </w:r>
      <w:r w:rsidRPr="003F3F14">
        <w:t>gation</w:t>
      </w:r>
      <w:r>
        <w:t xml:space="preserve"> and performance</w:t>
      </w:r>
      <w:r w:rsidR="006A1413">
        <w:t xml:space="preserve"> (Figure 2)</w:t>
      </w:r>
    </w:p>
    <w:p w14:paraId="0BC069B5" w14:textId="2E2EF065" w:rsidR="003F3F14" w:rsidRDefault="008A4CB7" w:rsidP="006E6B57">
      <w:pPr>
        <w:pStyle w:val="ListParagraph"/>
        <w:numPr>
          <w:ilvl w:val="0"/>
          <w:numId w:val="20"/>
        </w:numPr>
        <w:spacing w:after="120"/>
        <w:ind w:left="567" w:hanging="567"/>
      </w:pPr>
      <w:r>
        <w:t>reduc</w:t>
      </w:r>
      <w:r w:rsidR="0090506F">
        <w:t>ed</w:t>
      </w:r>
      <w:r>
        <w:t xml:space="preserve"> or eliminat</w:t>
      </w:r>
      <w:r w:rsidR="0090506F">
        <w:t>ed</w:t>
      </w:r>
      <w:r w:rsidR="003F3F14">
        <w:t xml:space="preserve"> need for emulsion breakers </w:t>
      </w:r>
    </w:p>
    <w:p w14:paraId="2C0BFADA" w14:textId="77727425" w:rsidR="0090506F" w:rsidRDefault="003F3F14" w:rsidP="006E6B57">
      <w:pPr>
        <w:pStyle w:val="ListParagraph"/>
        <w:numPr>
          <w:ilvl w:val="0"/>
          <w:numId w:val="20"/>
        </w:numPr>
        <w:spacing w:after="120"/>
        <w:ind w:left="567" w:hanging="567"/>
      </w:pPr>
      <w:r>
        <w:t>reduc</w:t>
      </w:r>
      <w:r w:rsidR="0090506F">
        <w:t xml:space="preserve">ed </w:t>
      </w:r>
      <w:r>
        <w:t xml:space="preserve">amount of </w:t>
      </w:r>
      <w:r w:rsidR="00E76D9B">
        <w:t>sources of n</w:t>
      </w:r>
      <w:r w:rsidR="00CD51E0">
        <w:t xml:space="preserve">itrogen </w:t>
      </w:r>
      <w:r w:rsidR="0090506F">
        <w:t>required</w:t>
      </w:r>
      <w:r w:rsidR="00CD51E0">
        <w:t xml:space="preserve"> in fermentation</w:t>
      </w:r>
    </w:p>
    <w:p w14:paraId="7BE6909E" w14:textId="7034B524" w:rsidR="003F3F14" w:rsidRDefault="003F3F14" w:rsidP="003F3F14">
      <w:pPr>
        <w:rPr>
          <w:lang w:eastAsia="en-AU"/>
        </w:rPr>
      </w:pPr>
    </w:p>
    <w:p w14:paraId="75B76F90" w14:textId="3C2ED5FD" w:rsidR="003F3F14" w:rsidRDefault="00F4464D" w:rsidP="00F4464D">
      <w:pPr>
        <w:jc w:val="center"/>
        <w:rPr>
          <w:lang w:eastAsia="en-AU"/>
        </w:rPr>
      </w:pPr>
      <w:r>
        <w:rPr>
          <w:noProof/>
          <w:lang w:eastAsia="en-GB" w:bidi="ar-SA"/>
        </w:rPr>
        <w:lastRenderedPageBreak/>
        <w:drawing>
          <wp:inline distT="0" distB="0" distL="0" distR="0" wp14:anchorId="67294263" wp14:editId="5D55C7FF">
            <wp:extent cx="5759450" cy="29952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995295"/>
                    </a:xfrm>
                    <a:prstGeom prst="rect">
                      <a:avLst/>
                    </a:prstGeom>
                  </pic:spPr>
                </pic:pic>
              </a:graphicData>
            </a:graphic>
          </wp:inline>
        </w:drawing>
      </w:r>
    </w:p>
    <w:p w14:paraId="6BD41E4E" w14:textId="77777777" w:rsidR="00097A77" w:rsidRDefault="00097A77" w:rsidP="00F4464D">
      <w:pPr>
        <w:jc w:val="center"/>
        <w:rPr>
          <w:lang w:eastAsia="en-AU"/>
        </w:rPr>
      </w:pPr>
    </w:p>
    <w:p w14:paraId="6E402EFF" w14:textId="1F2B6981" w:rsidR="0090506F" w:rsidRDefault="003F3F14" w:rsidP="00097A77">
      <w:pPr>
        <w:rPr>
          <w:i/>
          <w:lang w:eastAsia="en-AU"/>
        </w:rPr>
      </w:pPr>
      <w:r w:rsidRPr="003F3F14">
        <w:rPr>
          <w:b/>
          <w:i/>
          <w:lang w:eastAsia="en-AU"/>
        </w:rPr>
        <w:t>Figure 1</w:t>
      </w:r>
      <w:r w:rsidR="006E6B57">
        <w:rPr>
          <w:i/>
          <w:lang w:eastAsia="en-AU"/>
        </w:rPr>
        <w:tab/>
      </w:r>
      <w:r w:rsidRPr="003F3F14">
        <w:rPr>
          <w:i/>
          <w:lang w:eastAsia="en-AU"/>
        </w:rPr>
        <w:t>Effect of AFP on Rate and Titer</w:t>
      </w:r>
      <w:r w:rsidR="00643D45">
        <w:rPr>
          <w:i/>
          <w:lang w:eastAsia="en-AU"/>
        </w:rPr>
        <w:t xml:space="preserve"> of the production of ethanol via fermentation (control is urea as a source of nitrogen)</w:t>
      </w:r>
    </w:p>
    <w:p w14:paraId="5F7B4876" w14:textId="77777777" w:rsidR="00EF1E01" w:rsidRPr="003F3F14" w:rsidRDefault="00EF1E01" w:rsidP="00097A77">
      <w:pPr>
        <w:rPr>
          <w:i/>
          <w:lang w:eastAsia="en-AU"/>
        </w:rPr>
      </w:pPr>
    </w:p>
    <w:p w14:paraId="31162BD4" w14:textId="7E4CFD8D" w:rsidR="003F3F14" w:rsidRDefault="003F3F14" w:rsidP="003F3F14">
      <w:pPr>
        <w:jc w:val="center"/>
        <w:rPr>
          <w:lang w:eastAsia="en-AU"/>
        </w:rPr>
      </w:pPr>
      <w:r>
        <w:rPr>
          <w:noProof/>
          <w:lang w:eastAsia="en-GB" w:bidi="ar-SA"/>
        </w:rPr>
        <w:lastRenderedPageBreak/>
        <w:drawing>
          <wp:inline distT="0" distB="0" distL="0" distR="0" wp14:anchorId="38DC8E62" wp14:editId="2157DB69">
            <wp:extent cx="3277237" cy="5724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85471" cy="5738908"/>
                    </a:xfrm>
                    <a:prstGeom prst="rect">
                      <a:avLst/>
                    </a:prstGeom>
                  </pic:spPr>
                </pic:pic>
              </a:graphicData>
            </a:graphic>
          </wp:inline>
        </w:drawing>
      </w:r>
    </w:p>
    <w:p w14:paraId="4DD100CB" w14:textId="77777777" w:rsidR="003F3F14" w:rsidRDefault="003F3F14" w:rsidP="00691270">
      <w:pPr>
        <w:rPr>
          <w:lang w:eastAsia="en-AU" w:bidi="ar-SA"/>
        </w:rPr>
      </w:pPr>
    </w:p>
    <w:p w14:paraId="0F87E588" w14:textId="3798790B" w:rsidR="003F3F14" w:rsidRPr="003F3F14" w:rsidRDefault="003F3F14" w:rsidP="005303AE">
      <w:pPr>
        <w:rPr>
          <w:i/>
          <w:lang w:eastAsia="en-AU" w:bidi="ar-SA"/>
        </w:rPr>
      </w:pPr>
      <w:r w:rsidRPr="003F3F14">
        <w:rPr>
          <w:b/>
          <w:i/>
          <w:lang w:eastAsia="en-AU" w:bidi="ar-SA"/>
        </w:rPr>
        <w:t>Figure 2</w:t>
      </w:r>
      <w:r w:rsidR="00146E8B">
        <w:rPr>
          <w:i/>
          <w:lang w:eastAsia="en-AU" w:bidi="ar-SA"/>
        </w:rPr>
        <w:tab/>
      </w:r>
      <w:r w:rsidRPr="003F3F14">
        <w:rPr>
          <w:i/>
          <w:lang w:eastAsia="en-AU" w:bidi="ar-SA"/>
        </w:rPr>
        <w:t>Effect of AFP on yeast propagation</w:t>
      </w:r>
    </w:p>
    <w:p w14:paraId="70A301A8" w14:textId="7DA703C2" w:rsidR="00856936" w:rsidRDefault="003F3F14" w:rsidP="00691270">
      <w:pPr>
        <w:rPr>
          <w:lang w:eastAsia="en-AU" w:bidi="ar-SA"/>
        </w:rPr>
      </w:pPr>
      <w:r>
        <w:rPr>
          <w:lang w:eastAsia="en-AU" w:bidi="ar-SA"/>
        </w:rPr>
        <w:br/>
      </w:r>
      <w:r w:rsidR="0090506F" w:rsidRPr="008A4CB7">
        <w:rPr>
          <w:lang w:eastAsia="en-AU"/>
        </w:rPr>
        <w:t xml:space="preserve">The technological justification for using </w:t>
      </w:r>
      <w:r w:rsidR="0090506F">
        <w:rPr>
          <w:lang w:eastAsia="en-AU"/>
        </w:rPr>
        <w:t>AFP i</w:t>
      </w:r>
      <w:r w:rsidR="004E385A">
        <w:rPr>
          <w:lang w:eastAsia="en-AU"/>
        </w:rPr>
        <w:t>n the production of animal and vegetable</w:t>
      </w:r>
      <w:r w:rsidR="0090506F">
        <w:rPr>
          <w:lang w:eastAsia="en-AU"/>
        </w:rPr>
        <w:t xml:space="preserve"> protein products</w:t>
      </w:r>
      <w:r w:rsidR="0090506F" w:rsidRPr="008A4CB7">
        <w:rPr>
          <w:lang w:eastAsia="en-AU"/>
        </w:rPr>
        <w:t xml:space="preserve">, as indicated by the application, is that it </w:t>
      </w:r>
      <w:r w:rsidR="0090506F">
        <w:rPr>
          <w:lang w:eastAsia="en-AU"/>
        </w:rPr>
        <w:t xml:space="preserve">hydrolyses </w:t>
      </w:r>
      <w:r w:rsidR="00F61F4D">
        <w:rPr>
          <w:lang w:eastAsia="en-AU"/>
        </w:rPr>
        <w:t>proteins to low molecular weight peptides with improved functional properties such as</w:t>
      </w:r>
      <w:r w:rsidR="00EB48A0">
        <w:rPr>
          <w:lang w:eastAsia="en-AU"/>
        </w:rPr>
        <w:t xml:space="preserve"> </w:t>
      </w:r>
      <w:r w:rsidR="00F61F4D">
        <w:rPr>
          <w:lang w:eastAsia="en-AU"/>
        </w:rPr>
        <w:t>solubility</w:t>
      </w:r>
      <w:r w:rsidR="00EB48A0">
        <w:rPr>
          <w:lang w:eastAsia="en-AU"/>
        </w:rPr>
        <w:t xml:space="preserve">, </w:t>
      </w:r>
      <w:r w:rsidR="00F61F4D">
        <w:rPr>
          <w:lang w:eastAsia="en-AU"/>
        </w:rPr>
        <w:t>emulsification</w:t>
      </w:r>
      <w:r w:rsidR="00EB48A0">
        <w:rPr>
          <w:lang w:eastAsia="en-AU"/>
        </w:rPr>
        <w:t>, dispersibility and foamin</w:t>
      </w:r>
      <w:r w:rsidR="00F61F4D">
        <w:rPr>
          <w:lang w:eastAsia="en-AU"/>
        </w:rPr>
        <w:t>g</w:t>
      </w:r>
      <w:r w:rsidR="00EB48A0">
        <w:rPr>
          <w:lang w:eastAsia="en-AU"/>
        </w:rPr>
        <w:t xml:space="preserve"> (</w:t>
      </w:r>
      <w:r w:rsidR="00EB48A0">
        <w:rPr>
          <w:lang w:eastAsia="en-AU" w:bidi="ar-SA"/>
        </w:rPr>
        <w:t xml:space="preserve">Damodaran </w:t>
      </w:r>
      <w:r w:rsidR="00512606" w:rsidRPr="00512606">
        <w:rPr>
          <w:rFonts w:eastAsia="TimesNewRomanPSMT" w:cs="Arial"/>
          <w:i/>
          <w:iCs/>
          <w:szCs w:val="22"/>
          <w:lang w:bidi="ar-SA"/>
        </w:rPr>
        <w:t>et al.</w:t>
      </w:r>
      <w:r w:rsidR="00512606" w:rsidRPr="00512606">
        <w:rPr>
          <w:rFonts w:eastAsia="TimesNewRomanPSMT" w:cs="Arial"/>
          <w:i/>
          <w:szCs w:val="22"/>
          <w:lang w:bidi="ar-SA"/>
        </w:rPr>
        <w:t>,</w:t>
      </w:r>
      <w:r w:rsidR="00EB48A0">
        <w:rPr>
          <w:lang w:eastAsia="en-AU" w:bidi="ar-SA"/>
        </w:rPr>
        <w:t xml:space="preserve"> </w:t>
      </w:r>
      <w:r w:rsidR="00EB48A0" w:rsidRPr="006F7787">
        <w:rPr>
          <w:lang w:eastAsia="en-AU" w:bidi="ar-SA"/>
        </w:rPr>
        <w:t>2008</w:t>
      </w:r>
      <w:r w:rsidR="00EB48A0">
        <w:rPr>
          <w:lang w:eastAsia="en-AU" w:bidi="ar-SA"/>
        </w:rPr>
        <w:t>)</w:t>
      </w:r>
      <w:r w:rsidR="00F61F4D">
        <w:rPr>
          <w:lang w:eastAsia="en-AU"/>
        </w:rPr>
        <w:t>.</w:t>
      </w:r>
      <w:r w:rsidR="005C160C">
        <w:rPr>
          <w:lang w:eastAsia="en-AU"/>
        </w:rPr>
        <w:t xml:space="preserve"> </w:t>
      </w:r>
      <w:r w:rsidR="00F4057D">
        <w:rPr>
          <w:lang w:eastAsia="en-AU" w:bidi="ar-SA"/>
        </w:rPr>
        <w:t xml:space="preserve">This is particularly </w:t>
      </w:r>
      <w:r w:rsidR="00043522">
        <w:rPr>
          <w:lang w:eastAsia="en-AU" w:bidi="ar-SA"/>
        </w:rPr>
        <w:t xml:space="preserve">beneficial </w:t>
      </w:r>
      <w:r w:rsidR="004B034A">
        <w:rPr>
          <w:lang w:eastAsia="en-AU" w:bidi="ar-SA"/>
        </w:rPr>
        <w:t xml:space="preserve">for </w:t>
      </w:r>
      <w:r w:rsidR="004A6A98">
        <w:rPr>
          <w:lang w:eastAsia="en-AU" w:bidi="ar-SA"/>
        </w:rPr>
        <w:t>beverage</w:t>
      </w:r>
      <w:r w:rsidR="004B034A">
        <w:rPr>
          <w:lang w:eastAsia="en-AU" w:bidi="ar-SA"/>
        </w:rPr>
        <w:t xml:space="preserve"> </w:t>
      </w:r>
      <w:r w:rsidR="00A26150">
        <w:rPr>
          <w:lang w:eastAsia="en-AU" w:bidi="ar-SA"/>
        </w:rPr>
        <w:t xml:space="preserve">production </w:t>
      </w:r>
      <w:r w:rsidR="004B034A">
        <w:rPr>
          <w:lang w:eastAsia="en-AU" w:bidi="ar-SA"/>
        </w:rPr>
        <w:t>where</w:t>
      </w:r>
      <w:r w:rsidR="00582128">
        <w:rPr>
          <w:lang w:eastAsia="en-AU" w:bidi="ar-SA"/>
        </w:rPr>
        <w:t xml:space="preserve"> sediment and precipitation are </w:t>
      </w:r>
      <w:r w:rsidR="00A26150">
        <w:rPr>
          <w:lang w:eastAsia="en-AU" w:bidi="ar-SA"/>
        </w:rPr>
        <w:t xml:space="preserve">aesthetically </w:t>
      </w:r>
      <w:r w:rsidR="00582128">
        <w:rPr>
          <w:lang w:eastAsia="en-AU" w:bidi="ar-SA"/>
        </w:rPr>
        <w:t>undesirable</w:t>
      </w:r>
      <w:r w:rsidR="00A26150">
        <w:rPr>
          <w:lang w:eastAsia="en-AU" w:bidi="ar-SA"/>
        </w:rPr>
        <w:t>,</w:t>
      </w:r>
      <w:r w:rsidR="00582128">
        <w:rPr>
          <w:lang w:eastAsia="en-AU" w:bidi="ar-SA"/>
        </w:rPr>
        <w:t xml:space="preserve"> and </w:t>
      </w:r>
      <w:r w:rsidR="00A26150">
        <w:rPr>
          <w:lang w:eastAsia="en-AU" w:bidi="ar-SA"/>
        </w:rPr>
        <w:t xml:space="preserve">in </w:t>
      </w:r>
      <w:r w:rsidR="00582128">
        <w:rPr>
          <w:lang w:eastAsia="en-AU" w:bidi="ar-SA"/>
        </w:rPr>
        <w:t xml:space="preserve">sports </w:t>
      </w:r>
      <w:r w:rsidR="00FE43FA">
        <w:rPr>
          <w:lang w:eastAsia="en-AU" w:bidi="ar-SA"/>
        </w:rPr>
        <w:t>foods</w:t>
      </w:r>
      <w:r w:rsidR="00582128">
        <w:rPr>
          <w:lang w:eastAsia="en-AU" w:bidi="ar-SA"/>
        </w:rPr>
        <w:t xml:space="preserve"> </w:t>
      </w:r>
      <w:r w:rsidR="00FE43FA">
        <w:rPr>
          <w:lang w:eastAsia="en-AU" w:bidi="ar-SA"/>
        </w:rPr>
        <w:t xml:space="preserve">where </w:t>
      </w:r>
      <w:r w:rsidR="00643D45">
        <w:rPr>
          <w:lang w:eastAsia="en-AU" w:bidi="ar-SA"/>
        </w:rPr>
        <w:t xml:space="preserve">it is advantageous for </w:t>
      </w:r>
      <w:r w:rsidR="00FE43FA">
        <w:rPr>
          <w:lang w:eastAsia="en-AU" w:bidi="ar-SA"/>
        </w:rPr>
        <w:t xml:space="preserve">protein </w:t>
      </w:r>
      <w:r w:rsidR="00643D45">
        <w:rPr>
          <w:lang w:eastAsia="en-AU" w:bidi="ar-SA"/>
        </w:rPr>
        <w:t xml:space="preserve">to </w:t>
      </w:r>
      <w:r w:rsidR="00FE43FA">
        <w:rPr>
          <w:lang w:eastAsia="en-AU" w:bidi="ar-SA"/>
        </w:rPr>
        <w:t>be more readily absorbed.</w:t>
      </w:r>
    </w:p>
    <w:p w14:paraId="2CD21B26" w14:textId="695157D2" w:rsidR="00F4057D" w:rsidRDefault="00F4057D" w:rsidP="00691270">
      <w:pPr>
        <w:rPr>
          <w:lang w:eastAsia="en-AU" w:bidi="ar-SA"/>
        </w:rPr>
      </w:pPr>
      <w:r>
        <w:rPr>
          <w:lang w:eastAsia="en-AU" w:bidi="ar-SA"/>
        </w:rPr>
        <w:t xml:space="preserve"> </w:t>
      </w:r>
    </w:p>
    <w:p w14:paraId="267E2093" w14:textId="39E5D344" w:rsidR="006C0E66" w:rsidRDefault="00A31438" w:rsidP="00691270">
      <w:pPr>
        <w:rPr>
          <w:lang w:eastAsia="en-AU" w:bidi="ar-SA"/>
        </w:rPr>
      </w:pPr>
      <w:r>
        <w:rPr>
          <w:lang w:eastAsia="en-AU" w:bidi="ar-SA"/>
        </w:rPr>
        <w:t xml:space="preserve">The applicant provided details of studies supporting its claim that use of </w:t>
      </w:r>
      <w:r w:rsidR="00B30CFE">
        <w:rPr>
          <w:lang w:eastAsia="en-AU" w:bidi="ar-SA"/>
        </w:rPr>
        <w:t xml:space="preserve">this </w:t>
      </w:r>
      <w:r>
        <w:rPr>
          <w:lang w:eastAsia="en-AU" w:bidi="ar-SA"/>
        </w:rPr>
        <w:t xml:space="preserve">enzyme </w:t>
      </w:r>
      <w:r w:rsidR="00B30CFE">
        <w:rPr>
          <w:lang w:eastAsia="en-AU" w:bidi="ar-SA"/>
        </w:rPr>
        <w:t xml:space="preserve">provides </w:t>
      </w:r>
      <w:r>
        <w:rPr>
          <w:lang w:eastAsia="en-AU" w:bidi="ar-SA"/>
        </w:rPr>
        <w:t xml:space="preserve">these benefits. </w:t>
      </w:r>
    </w:p>
    <w:p w14:paraId="198CA4A0" w14:textId="22CFF1BD" w:rsidR="006C0E66" w:rsidRPr="00D67005" w:rsidRDefault="006C0E66" w:rsidP="006C0E66">
      <w:pPr>
        <w:pStyle w:val="Heading3"/>
      </w:pPr>
      <w:bookmarkStart w:id="23" w:name="_Toc505255633"/>
      <w:bookmarkStart w:id="24" w:name="_Toc533087509"/>
      <w:bookmarkStart w:id="25" w:name="_Toc534297202"/>
      <w:r>
        <w:t>2.1.4 Us</w:t>
      </w:r>
      <w:r w:rsidR="00B30CFE">
        <w:t>ag</w:t>
      </w:r>
      <w:r>
        <w:t>e levels</w:t>
      </w:r>
      <w:bookmarkEnd w:id="23"/>
      <w:bookmarkEnd w:id="24"/>
      <w:bookmarkEnd w:id="25"/>
    </w:p>
    <w:p w14:paraId="43944BA4" w14:textId="32129BFC" w:rsidR="006C0E66" w:rsidRDefault="004E385A" w:rsidP="006C0E66">
      <w:pPr>
        <w:rPr>
          <w:rFonts w:cs="Arial"/>
        </w:rPr>
      </w:pPr>
      <w:r w:rsidRPr="004E385A">
        <w:rPr>
          <w:rFonts w:cs="Arial"/>
        </w:rPr>
        <w:t>Use</w:t>
      </w:r>
      <w:r w:rsidR="00A26150">
        <w:rPr>
          <w:rFonts w:cs="Arial"/>
        </w:rPr>
        <w:t>s</w:t>
      </w:r>
      <w:r w:rsidRPr="004E385A">
        <w:rPr>
          <w:rFonts w:cs="Arial"/>
        </w:rPr>
        <w:t xml:space="preserve"> of commercial enzyme preparations are typically in accordance with </w:t>
      </w:r>
      <w:r w:rsidR="00391335">
        <w:rPr>
          <w:rFonts w:cs="Arial"/>
        </w:rPr>
        <w:t>GMP</w:t>
      </w:r>
      <w:r w:rsidRPr="004E385A">
        <w:rPr>
          <w:rFonts w:cs="Arial"/>
        </w:rPr>
        <w:t xml:space="preserve">, whereby use is at a level that is not higher than the level necessary to achieve the desired enzymatic reaction. </w:t>
      </w:r>
      <w:r w:rsidR="00C26253">
        <w:t>U</w:t>
      </w:r>
      <w:r w:rsidR="00C26253" w:rsidRPr="005C1C51">
        <w:rPr>
          <w:rFonts w:cs="Arial"/>
        </w:rPr>
        <w:t>sa</w:t>
      </w:r>
      <w:r w:rsidR="00C26253">
        <w:rPr>
          <w:rFonts w:cs="Arial"/>
        </w:rPr>
        <w:t>ge</w:t>
      </w:r>
      <w:r w:rsidR="00C26253" w:rsidRPr="005C1C51">
        <w:rPr>
          <w:rFonts w:cs="Arial"/>
        </w:rPr>
        <w:t xml:space="preserve"> levels are expressed in Total Organic Solids </w:t>
      </w:r>
      <w:r w:rsidR="00C26253">
        <w:rPr>
          <w:rFonts w:cs="Arial"/>
        </w:rPr>
        <w:t>(</w:t>
      </w:r>
      <w:r w:rsidR="00C26253" w:rsidRPr="005C1C51">
        <w:rPr>
          <w:rFonts w:cs="Arial"/>
        </w:rPr>
        <w:t>TOS</w:t>
      </w:r>
      <w:r w:rsidR="00C26253">
        <w:rPr>
          <w:rFonts w:cs="Arial"/>
        </w:rPr>
        <w:t xml:space="preserve">). </w:t>
      </w:r>
      <w:r w:rsidR="006C0E66">
        <w:rPr>
          <w:rFonts w:cs="Arial"/>
        </w:rPr>
        <w:t xml:space="preserve">Food manufacturers </w:t>
      </w:r>
      <w:r w:rsidR="006C0E66">
        <w:rPr>
          <w:rFonts w:cs="Arial"/>
        </w:rPr>
        <w:lastRenderedPageBreak/>
        <w:t xml:space="preserve">adjust the </w:t>
      </w:r>
      <w:r w:rsidR="00097A77">
        <w:rPr>
          <w:rFonts w:cs="Arial"/>
        </w:rPr>
        <w:t>usage</w:t>
      </w:r>
      <w:r w:rsidR="006C0E66">
        <w:rPr>
          <w:rFonts w:cs="Arial"/>
        </w:rPr>
        <w:t xml:space="preserve"> levels depending on the food</w:t>
      </w:r>
      <w:r w:rsidR="002066D8">
        <w:rPr>
          <w:rFonts w:cs="Arial"/>
        </w:rPr>
        <w:t xml:space="preserve"> use</w:t>
      </w:r>
      <w:r w:rsidRPr="00C90A79">
        <w:t>, the type and quality of the raw materials used</w:t>
      </w:r>
      <w:r w:rsidR="006C0E66">
        <w:rPr>
          <w:rFonts w:cs="Arial"/>
        </w:rPr>
        <w:t xml:space="preserve"> and the enzyme supplier’s recommend</w:t>
      </w:r>
      <w:r w:rsidR="00E67684">
        <w:rPr>
          <w:rFonts w:cs="Arial"/>
        </w:rPr>
        <w:t xml:space="preserve">ations </w:t>
      </w:r>
      <w:r w:rsidR="00E67684" w:rsidRPr="008B6B30">
        <w:rPr>
          <w:rFonts w:cs="Arial"/>
        </w:rPr>
        <w:t>(Table 2)</w:t>
      </w:r>
      <w:r w:rsidR="006C0E66" w:rsidRPr="008B6B30">
        <w:rPr>
          <w:rFonts w:cs="Arial"/>
        </w:rPr>
        <w:t>.</w:t>
      </w:r>
      <w:r w:rsidR="006C0E66" w:rsidRPr="008B6B30">
        <w:t xml:space="preserve"> </w:t>
      </w:r>
    </w:p>
    <w:p w14:paraId="5B338EDE" w14:textId="77777777" w:rsidR="006C0E66" w:rsidRPr="008B6B30" w:rsidRDefault="006C0E66" w:rsidP="006C0E66">
      <w:pPr>
        <w:rPr>
          <w:rFonts w:cs="Arial"/>
          <w:i/>
          <w:szCs w:val="22"/>
        </w:rPr>
      </w:pPr>
    </w:p>
    <w:p w14:paraId="63FCCE1C" w14:textId="04E6D72D" w:rsidR="006C0E66" w:rsidRPr="008B6B30" w:rsidRDefault="006C0E66" w:rsidP="008B6B30">
      <w:pPr>
        <w:pStyle w:val="FSTableHeading"/>
        <w:jc w:val="left"/>
        <w:rPr>
          <w:b w:val="0"/>
        </w:rPr>
      </w:pPr>
      <w:r w:rsidRPr="008B6B30">
        <w:rPr>
          <w:i/>
          <w:sz w:val="22"/>
          <w:szCs w:val="22"/>
        </w:rPr>
        <w:t>Table 2</w:t>
      </w:r>
      <w:r w:rsidR="009871FD" w:rsidRPr="008B6B30">
        <w:rPr>
          <w:i/>
          <w:sz w:val="22"/>
          <w:szCs w:val="22"/>
        </w:rPr>
        <w:tab/>
      </w:r>
      <w:r w:rsidRPr="008B6B30">
        <w:rPr>
          <w:rFonts w:ascii="Arial" w:hAnsi="Arial" w:cs="Times New Roman"/>
          <w:b w:val="0"/>
          <w:i/>
          <w:sz w:val="22"/>
          <w:szCs w:val="24"/>
          <w:lang w:eastAsia="en-AU" w:bidi="ar-SA"/>
        </w:rPr>
        <w:t>Recommended use levels for AFP</w:t>
      </w:r>
    </w:p>
    <w:p w14:paraId="747C04DA" w14:textId="77777777" w:rsidR="006C0E66" w:rsidRDefault="006C0E66" w:rsidP="006C0E66">
      <w:pPr>
        <w:rPr>
          <w:rFonts w:cs="Arial"/>
        </w:rPr>
      </w:pPr>
    </w:p>
    <w:tbl>
      <w:tblPr>
        <w:tblStyle w:val="TableGrid3"/>
        <w:tblW w:w="5000" w:type="pct"/>
        <w:tblLook w:val="04A0" w:firstRow="1" w:lastRow="0" w:firstColumn="1" w:lastColumn="0" w:noHBand="0" w:noVBand="1"/>
        <w:tblDescription w:val="The Application listed recommended use levels for various food applications. Column 1 lists the food application. There are 4 rows across the table depending on the food applciation. Column 2 the raw material, Column 3 the recommended use level. Column 4 the final food.  "/>
      </w:tblPr>
      <w:tblGrid>
        <w:gridCol w:w="2689"/>
        <w:gridCol w:w="2975"/>
        <w:gridCol w:w="3396"/>
      </w:tblGrid>
      <w:tr w:rsidR="0033375E" w:rsidRPr="00582128" w14:paraId="3F3800CD" w14:textId="77777777" w:rsidTr="0033375E">
        <w:trPr>
          <w:trHeight w:val="690"/>
        </w:trPr>
        <w:tc>
          <w:tcPr>
            <w:tcW w:w="1484" w:type="pct"/>
            <w:vAlign w:val="center"/>
          </w:tcPr>
          <w:p w14:paraId="54D302A0" w14:textId="77777777" w:rsidR="0033375E" w:rsidRPr="0097451A" w:rsidRDefault="0033375E" w:rsidP="00043522">
            <w:pPr>
              <w:rPr>
                <w:b/>
                <w:sz w:val="20"/>
                <w:szCs w:val="18"/>
              </w:rPr>
            </w:pPr>
            <w:r w:rsidRPr="0097451A">
              <w:rPr>
                <w:b/>
                <w:sz w:val="20"/>
                <w:szCs w:val="18"/>
              </w:rPr>
              <w:t>Application</w:t>
            </w:r>
          </w:p>
        </w:tc>
        <w:tc>
          <w:tcPr>
            <w:tcW w:w="1642" w:type="pct"/>
            <w:vAlign w:val="center"/>
          </w:tcPr>
          <w:p w14:paraId="3E188F77" w14:textId="77777777" w:rsidR="0033375E" w:rsidRPr="0097451A" w:rsidRDefault="0033375E" w:rsidP="00043522">
            <w:pPr>
              <w:rPr>
                <w:b/>
                <w:sz w:val="20"/>
                <w:szCs w:val="18"/>
              </w:rPr>
            </w:pPr>
            <w:r w:rsidRPr="0097451A">
              <w:rPr>
                <w:b/>
                <w:sz w:val="20"/>
                <w:szCs w:val="18"/>
              </w:rPr>
              <w:t>Raw material (RM)</w:t>
            </w:r>
          </w:p>
        </w:tc>
        <w:tc>
          <w:tcPr>
            <w:tcW w:w="1874" w:type="pct"/>
            <w:vAlign w:val="center"/>
          </w:tcPr>
          <w:p w14:paraId="4F448BD1" w14:textId="77777777" w:rsidR="0033375E" w:rsidRPr="0097451A" w:rsidRDefault="0033375E" w:rsidP="00043522">
            <w:pPr>
              <w:rPr>
                <w:b/>
                <w:sz w:val="20"/>
                <w:szCs w:val="18"/>
              </w:rPr>
            </w:pPr>
            <w:r w:rsidRPr="0097451A">
              <w:rPr>
                <w:b/>
                <w:sz w:val="20"/>
                <w:szCs w:val="18"/>
              </w:rPr>
              <w:t>Recommended use levels (mg TOS/kg RM)</w:t>
            </w:r>
          </w:p>
        </w:tc>
      </w:tr>
      <w:tr w:rsidR="0033375E" w:rsidRPr="00582128" w14:paraId="12050170" w14:textId="77777777" w:rsidTr="0033375E">
        <w:trPr>
          <w:trHeight w:val="690"/>
        </w:trPr>
        <w:tc>
          <w:tcPr>
            <w:tcW w:w="1484" w:type="pct"/>
            <w:vAlign w:val="center"/>
          </w:tcPr>
          <w:p w14:paraId="6D7C8E21" w14:textId="7DE4C620" w:rsidR="0033375E" w:rsidRPr="0097451A" w:rsidRDefault="0033375E" w:rsidP="0033375E">
            <w:pPr>
              <w:rPr>
                <w:sz w:val="20"/>
                <w:szCs w:val="18"/>
              </w:rPr>
            </w:pPr>
            <w:r w:rsidRPr="0097451A">
              <w:rPr>
                <w:sz w:val="20"/>
                <w:szCs w:val="18"/>
              </w:rPr>
              <w:t>Potable alcohol</w:t>
            </w:r>
            <w:r>
              <w:rPr>
                <w:sz w:val="20"/>
                <w:szCs w:val="18"/>
              </w:rPr>
              <w:t xml:space="preserve"> </w:t>
            </w:r>
            <w:r w:rsidRPr="0097451A">
              <w:rPr>
                <w:sz w:val="20"/>
                <w:szCs w:val="18"/>
              </w:rPr>
              <w:t>production</w:t>
            </w:r>
          </w:p>
        </w:tc>
        <w:tc>
          <w:tcPr>
            <w:tcW w:w="1642" w:type="pct"/>
            <w:vAlign w:val="center"/>
          </w:tcPr>
          <w:p w14:paraId="5E6568B8" w14:textId="77777777" w:rsidR="0033375E" w:rsidRPr="0097451A" w:rsidRDefault="0033375E" w:rsidP="00043522">
            <w:pPr>
              <w:rPr>
                <w:sz w:val="20"/>
                <w:szCs w:val="18"/>
              </w:rPr>
            </w:pPr>
            <w:r w:rsidRPr="0097451A">
              <w:rPr>
                <w:sz w:val="20"/>
                <w:szCs w:val="18"/>
              </w:rPr>
              <w:t>Grist</w:t>
            </w:r>
          </w:p>
        </w:tc>
        <w:tc>
          <w:tcPr>
            <w:tcW w:w="1874" w:type="pct"/>
            <w:vAlign w:val="center"/>
          </w:tcPr>
          <w:p w14:paraId="736F47DD" w14:textId="307AAF33" w:rsidR="0033375E" w:rsidRPr="0097451A" w:rsidRDefault="0033375E" w:rsidP="00043522">
            <w:pPr>
              <w:rPr>
                <w:sz w:val="20"/>
                <w:szCs w:val="18"/>
              </w:rPr>
            </w:pPr>
            <w:r w:rsidRPr="0097451A">
              <w:rPr>
                <w:sz w:val="20"/>
                <w:szCs w:val="18"/>
              </w:rPr>
              <w:t>5 - 50</w:t>
            </w:r>
          </w:p>
        </w:tc>
      </w:tr>
      <w:tr w:rsidR="0033375E" w:rsidRPr="00582128" w14:paraId="3054DB0A" w14:textId="77777777" w:rsidTr="0033375E">
        <w:trPr>
          <w:trHeight w:val="690"/>
        </w:trPr>
        <w:tc>
          <w:tcPr>
            <w:tcW w:w="1484" w:type="pct"/>
            <w:vAlign w:val="center"/>
          </w:tcPr>
          <w:p w14:paraId="6F14ECD0" w14:textId="298709EB" w:rsidR="0033375E" w:rsidRPr="0097451A" w:rsidRDefault="0033375E" w:rsidP="0033375E">
            <w:pPr>
              <w:rPr>
                <w:sz w:val="20"/>
                <w:szCs w:val="18"/>
              </w:rPr>
            </w:pPr>
            <w:r w:rsidRPr="0097451A">
              <w:rPr>
                <w:sz w:val="20"/>
                <w:szCs w:val="18"/>
              </w:rPr>
              <w:t>Protein</w:t>
            </w:r>
            <w:r>
              <w:rPr>
                <w:sz w:val="20"/>
                <w:szCs w:val="18"/>
              </w:rPr>
              <w:t xml:space="preserve"> </w:t>
            </w:r>
            <w:r w:rsidRPr="0097451A">
              <w:rPr>
                <w:sz w:val="20"/>
                <w:szCs w:val="18"/>
              </w:rPr>
              <w:t>processing</w:t>
            </w:r>
          </w:p>
        </w:tc>
        <w:tc>
          <w:tcPr>
            <w:tcW w:w="1642" w:type="pct"/>
            <w:vAlign w:val="center"/>
          </w:tcPr>
          <w:p w14:paraId="10CDC779" w14:textId="703AD18D" w:rsidR="0033375E" w:rsidRPr="0097451A" w:rsidRDefault="0033375E" w:rsidP="00582128">
            <w:pPr>
              <w:rPr>
                <w:sz w:val="20"/>
                <w:szCs w:val="18"/>
              </w:rPr>
            </w:pPr>
            <w:r w:rsidRPr="0097451A">
              <w:rPr>
                <w:sz w:val="20"/>
                <w:szCs w:val="18"/>
              </w:rPr>
              <w:t>Vegetable, animal, microbial and milk proteins</w:t>
            </w:r>
          </w:p>
        </w:tc>
        <w:tc>
          <w:tcPr>
            <w:tcW w:w="1874" w:type="pct"/>
            <w:vAlign w:val="center"/>
          </w:tcPr>
          <w:p w14:paraId="416A339D" w14:textId="423200B1" w:rsidR="0033375E" w:rsidRPr="0097451A" w:rsidRDefault="0033375E" w:rsidP="00043522">
            <w:pPr>
              <w:rPr>
                <w:sz w:val="20"/>
                <w:szCs w:val="18"/>
              </w:rPr>
            </w:pPr>
            <w:r w:rsidRPr="0097451A">
              <w:rPr>
                <w:sz w:val="20"/>
                <w:szCs w:val="18"/>
              </w:rPr>
              <w:t>30 - 1000</w:t>
            </w:r>
          </w:p>
        </w:tc>
      </w:tr>
    </w:tbl>
    <w:p w14:paraId="1B6435E5" w14:textId="77777777" w:rsidR="001E6A7B" w:rsidRDefault="001E6A7B" w:rsidP="00BD59CB">
      <w:pPr>
        <w:pStyle w:val="Heading2"/>
      </w:pPr>
      <w:bookmarkStart w:id="26" w:name="_Toc533087510"/>
      <w:bookmarkStart w:id="27" w:name="_Toc534297203"/>
      <w:r>
        <w:t>2.2</w:t>
      </w:r>
      <w:r>
        <w:tab/>
        <w:t>Manufacturing process</w:t>
      </w:r>
      <w:bookmarkEnd w:id="26"/>
      <w:bookmarkEnd w:id="27"/>
    </w:p>
    <w:p w14:paraId="6E74515A" w14:textId="2E1A78A3" w:rsidR="001E6A7B" w:rsidRDefault="0035149D" w:rsidP="00D15645">
      <w:pPr>
        <w:pStyle w:val="Heading3"/>
      </w:pPr>
      <w:bookmarkStart w:id="28" w:name="_Toc533087511"/>
      <w:bookmarkStart w:id="29" w:name="_Toc534297204"/>
      <w:r>
        <w:t>2.2.1</w:t>
      </w:r>
      <w:r>
        <w:tab/>
        <w:t>P</w:t>
      </w:r>
      <w:r w:rsidR="001E6A7B">
        <w:t>roduction of the enzyme</w:t>
      </w:r>
      <w:bookmarkEnd w:id="28"/>
      <w:bookmarkEnd w:id="29"/>
    </w:p>
    <w:p w14:paraId="46B67B8C" w14:textId="629EEB70" w:rsidR="00691270" w:rsidRDefault="003F3F14" w:rsidP="005E1704">
      <w:pPr>
        <w:widowControl/>
        <w:autoSpaceDE w:val="0"/>
        <w:autoSpaceDN w:val="0"/>
        <w:adjustRightInd w:val="0"/>
        <w:rPr>
          <w:lang w:eastAsia="en-AU" w:bidi="ar-SA"/>
        </w:rPr>
      </w:pPr>
      <w:r w:rsidRPr="00EE5EA4">
        <w:rPr>
          <w:lang w:eastAsia="en-AU" w:bidi="ar-SA"/>
        </w:rPr>
        <w:t xml:space="preserve">The manufacturing process for the production of </w:t>
      </w:r>
      <w:r w:rsidR="005E1704" w:rsidRPr="00EE5EA4">
        <w:rPr>
          <w:lang w:eastAsia="en-AU" w:bidi="ar-SA"/>
        </w:rPr>
        <w:t>AFP</w:t>
      </w:r>
      <w:r w:rsidRPr="00EE5EA4">
        <w:rPr>
          <w:lang w:eastAsia="en-AU" w:bidi="ar-SA"/>
        </w:rPr>
        <w:t xml:space="preserve"> is a three-part process consisting of </w:t>
      </w:r>
      <w:r w:rsidR="005E1704" w:rsidRPr="00EE5EA4">
        <w:rPr>
          <w:lang w:eastAsia="en-AU" w:bidi="ar-SA"/>
        </w:rPr>
        <w:t xml:space="preserve">fermentation (growth of organism and production of enzyme), recovery (separation of cell mass from enzyme and concentration/purification of enzyme) and formulation/ drying (preparation of a stable enzyme formulation) </w:t>
      </w:r>
      <w:r w:rsidRPr="00EE5EA4">
        <w:rPr>
          <w:lang w:eastAsia="en-AU" w:bidi="ar-SA"/>
        </w:rPr>
        <w:t>(Figure 3). These are summarised below with full details provided in the application.</w:t>
      </w:r>
    </w:p>
    <w:p w14:paraId="70D15560" w14:textId="1D4E2368" w:rsidR="00444A24" w:rsidRDefault="00444A24" w:rsidP="005E1704">
      <w:pPr>
        <w:widowControl/>
        <w:autoSpaceDE w:val="0"/>
        <w:autoSpaceDN w:val="0"/>
        <w:adjustRightInd w:val="0"/>
        <w:rPr>
          <w:lang w:eastAsia="en-AU" w:bidi="ar-SA"/>
        </w:rPr>
      </w:pPr>
    </w:p>
    <w:p w14:paraId="59B11935" w14:textId="42378D6A" w:rsidR="00444A24" w:rsidRPr="00EE5EA4" w:rsidRDefault="00444A24" w:rsidP="005E1704">
      <w:pPr>
        <w:widowControl/>
        <w:autoSpaceDE w:val="0"/>
        <w:autoSpaceDN w:val="0"/>
        <w:adjustRightInd w:val="0"/>
        <w:rPr>
          <w:lang w:eastAsia="en-AU" w:bidi="ar-SA"/>
        </w:rPr>
      </w:pPr>
      <w:r w:rsidRPr="006170EC">
        <w:rPr>
          <w:rFonts w:eastAsia="Calibri"/>
          <w:noProof/>
          <w:color w:val="CC66FF"/>
          <w:szCs w:val="22"/>
          <w:lang w:eastAsia="en-GB" w:bidi="ar-SA"/>
        </w:rPr>
        <w:drawing>
          <wp:inline distT="0" distB="0" distL="0" distR="0" wp14:anchorId="6838EE27" wp14:editId="40217CB4">
            <wp:extent cx="5486400" cy="3200400"/>
            <wp:effectExtent l="0" t="57150" r="0" b="114300"/>
            <wp:docPr id="16" name="Diagram 16" title="Manufacturing process for CB108 Lacta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AA8A764" w14:textId="77777777" w:rsidR="007217FF" w:rsidRPr="00EE5EA4" w:rsidRDefault="007217FF" w:rsidP="003F3F14">
      <w:pPr>
        <w:widowControl/>
        <w:rPr>
          <w:lang w:eastAsia="en-AU" w:bidi="ar-SA"/>
        </w:rPr>
      </w:pPr>
    </w:p>
    <w:p w14:paraId="4149FB53" w14:textId="6A718431" w:rsidR="003F3F14" w:rsidRPr="006170EC" w:rsidRDefault="003F3F14" w:rsidP="003F3F14">
      <w:pPr>
        <w:widowControl/>
        <w:rPr>
          <w:rFonts w:eastAsia="Calibri"/>
          <w:szCs w:val="22"/>
          <w:lang w:bidi="ar-SA"/>
        </w:rPr>
      </w:pPr>
      <w:r w:rsidRPr="006170EC">
        <w:rPr>
          <w:rFonts w:eastAsia="Calibri"/>
          <w:b/>
          <w:i/>
          <w:szCs w:val="22"/>
          <w:lang w:eastAsia="en-AU" w:bidi="ar-SA"/>
        </w:rPr>
        <w:t xml:space="preserve">Figure </w:t>
      </w:r>
      <w:r>
        <w:rPr>
          <w:rFonts w:eastAsia="Calibri"/>
          <w:b/>
          <w:i/>
          <w:szCs w:val="22"/>
          <w:lang w:eastAsia="en-AU" w:bidi="ar-SA"/>
        </w:rPr>
        <w:t>3</w:t>
      </w:r>
      <w:r w:rsidR="00146E8B">
        <w:rPr>
          <w:rFonts w:eastAsia="Calibri"/>
          <w:szCs w:val="22"/>
          <w:lang w:eastAsia="en-AU" w:bidi="ar-SA"/>
        </w:rPr>
        <w:tab/>
      </w:r>
      <w:r w:rsidRPr="006170EC">
        <w:rPr>
          <w:rFonts w:eastAsia="Calibri"/>
          <w:i/>
          <w:szCs w:val="22"/>
          <w:lang w:eastAsia="en-AU" w:bidi="ar-SA"/>
        </w:rPr>
        <w:t xml:space="preserve">Manufacturing process for </w:t>
      </w:r>
      <w:r w:rsidR="00444A24">
        <w:rPr>
          <w:rFonts w:eastAsia="Calibri"/>
          <w:i/>
          <w:szCs w:val="22"/>
          <w:lang w:eastAsia="en-AU" w:bidi="ar-SA"/>
        </w:rPr>
        <w:t>AFP</w:t>
      </w:r>
    </w:p>
    <w:p w14:paraId="4E3B7698" w14:textId="77777777" w:rsidR="003F3F14" w:rsidRPr="006170EC" w:rsidRDefault="003F3F14" w:rsidP="003F3F14">
      <w:pPr>
        <w:widowControl/>
        <w:rPr>
          <w:rFonts w:eastAsia="Calibri"/>
          <w:szCs w:val="22"/>
          <w:lang w:bidi="ar-SA"/>
        </w:rPr>
      </w:pPr>
    </w:p>
    <w:p w14:paraId="61AE8BA4"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Fermentation</w:t>
      </w:r>
    </w:p>
    <w:p w14:paraId="002FEDFF" w14:textId="52E28803" w:rsidR="00691270" w:rsidRPr="00EE5EA4" w:rsidRDefault="00691270" w:rsidP="00691270">
      <w:pPr>
        <w:widowControl/>
        <w:autoSpaceDE w:val="0"/>
        <w:autoSpaceDN w:val="0"/>
        <w:adjustRightInd w:val="0"/>
        <w:rPr>
          <w:lang w:eastAsia="en-AU" w:bidi="ar-SA"/>
        </w:rPr>
      </w:pPr>
      <w:r w:rsidRPr="00EE5EA4">
        <w:rPr>
          <w:lang w:eastAsia="en-AU" w:bidi="ar-SA"/>
        </w:rPr>
        <w:t xml:space="preserve">The </w:t>
      </w:r>
      <w:r w:rsidR="008B6B30">
        <w:rPr>
          <w:lang w:eastAsia="en-AU" w:bidi="ar-SA"/>
        </w:rPr>
        <w:t>Aspergillopepsin I</w:t>
      </w:r>
      <w:r w:rsidRPr="00EE5EA4">
        <w:rPr>
          <w:lang w:eastAsia="en-AU" w:bidi="ar-SA"/>
        </w:rPr>
        <w:t xml:space="preserve"> preparation is produced by submerged fed-batch pure culture fermentation of the genetically modified strain of </w:t>
      </w:r>
      <w:r w:rsidR="006A1E1D">
        <w:rPr>
          <w:i/>
          <w:lang w:eastAsia="en-AU" w:bidi="ar-SA"/>
        </w:rPr>
        <w:t>T.reesei</w:t>
      </w:r>
      <w:r w:rsidRPr="00EE5EA4">
        <w:rPr>
          <w:lang w:eastAsia="en-AU" w:bidi="ar-SA"/>
        </w:rPr>
        <w:t>. This process is commonly used for the production of food-grade enzymes.</w:t>
      </w:r>
    </w:p>
    <w:p w14:paraId="49C9F3D4" w14:textId="77777777" w:rsidR="00691270" w:rsidRPr="00EE5EA4" w:rsidRDefault="00691270" w:rsidP="00691270">
      <w:pPr>
        <w:widowControl/>
        <w:autoSpaceDE w:val="0"/>
        <w:autoSpaceDN w:val="0"/>
        <w:adjustRightInd w:val="0"/>
        <w:rPr>
          <w:lang w:eastAsia="en-AU" w:bidi="ar-SA"/>
        </w:rPr>
      </w:pPr>
    </w:p>
    <w:p w14:paraId="639BDB97" w14:textId="3FB1022C" w:rsidR="00691270" w:rsidRPr="00EE5EA4" w:rsidRDefault="00691270" w:rsidP="006A1E1D">
      <w:pPr>
        <w:widowControl/>
        <w:autoSpaceDE w:val="0"/>
        <w:autoSpaceDN w:val="0"/>
        <w:adjustRightInd w:val="0"/>
        <w:rPr>
          <w:lang w:eastAsia="en-AU" w:bidi="ar-SA"/>
        </w:rPr>
      </w:pPr>
      <w:r w:rsidRPr="00EE5EA4">
        <w:rPr>
          <w:lang w:eastAsia="en-AU" w:bidi="ar-SA"/>
        </w:rPr>
        <w:lastRenderedPageBreak/>
        <w:t>The fermentation process involves three steps</w:t>
      </w:r>
      <w:r w:rsidR="00C37228">
        <w:rPr>
          <w:lang w:eastAsia="en-AU" w:bidi="ar-SA"/>
        </w:rPr>
        <w:t>;</w:t>
      </w:r>
      <w:r w:rsidR="00C37228" w:rsidRPr="00EE5EA4">
        <w:rPr>
          <w:lang w:eastAsia="en-AU" w:bidi="ar-SA"/>
        </w:rPr>
        <w:t xml:space="preserve"> </w:t>
      </w:r>
      <w:r w:rsidR="006A1E1D">
        <w:rPr>
          <w:lang w:eastAsia="en-AU" w:bidi="ar-SA"/>
        </w:rPr>
        <w:t xml:space="preserve">laboratory propagation </w:t>
      </w:r>
      <w:r w:rsidR="00581A11">
        <w:rPr>
          <w:lang w:eastAsia="en-AU" w:bidi="ar-SA"/>
        </w:rPr>
        <w:t xml:space="preserve">(inoculation) </w:t>
      </w:r>
      <w:r w:rsidR="006A1E1D">
        <w:rPr>
          <w:lang w:eastAsia="en-AU" w:bidi="ar-SA"/>
        </w:rPr>
        <w:t>of the culture,</w:t>
      </w:r>
      <w:r w:rsidR="00581A11">
        <w:rPr>
          <w:lang w:eastAsia="en-AU" w:bidi="ar-SA"/>
        </w:rPr>
        <w:t xml:space="preserve"> </w:t>
      </w:r>
      <w:r w:rsidR="006A1E1D">
        <w:rPr>
          <w:lang w:eastAsia="en-AU" w:bidi="ar-SA"/>
        </w:rPr>
        <w:t>seed fermentation and primary fermentation</w:t>
      </w:r>
      <w:r w:rsidRPr="00EE5EA4">
        <w:rPr>
          <w:lang w:eastAsia="en-AU" w:bidi="ar-SA"/>
        </w:rPr>
        <w:t>.</w:t>
      </w:r>
      <w:r w:rsidR="00581A11" w:rsidRPr="00581A11">
        <w:t xml:space="preserve"> </w:t>
      </w:r>
      <w:r w:rsidR="00581A11" w:rsidRPr="00581A11">
        <w:rPr>
          <w:lang w:eastAsia="en-AU" w:bidi="ar-SA"/>
        </w:rPr>
        <w:t>At all stages of the fermentation, microbial growth is checked for correct morphological development of the microorganism and for the presence of any contamination.</w:t>
      </w:r>
    </w:p>
    <w:p w14:paraId="6D44145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7CCF0F8"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Recovery</w:t>
      </w:r>
    </w:p>
    <w:p w14:paraId="3C45501B" w14:textId="77777777" w:rsidR="00691270" w:rsidRPr="00EE5EA4" w:rsidRDefault="00691270" w:rsidP="00691270">
      <w:pPr>
        <w:widowControl/>
        <w:autoSpaceDE w:val="0"/>
        <w:autoSpaceDN w:val="0"/>
        <w:adjustRightInd w:val="0"/>
        <w:rPr>
          <w:lang w:eastAsia="en-AU" w:bidi="ar-SA"/>
        </w:rPr>
      </w:pPr>
      <w:r w:rsidRPr="00EE5EA4">
        <w:rPr>
          <w:lang w:eastAsia="en-AU" w:bidi="ar-SA"/>
        </w:rPr>
        <w:t xml:space="preserve">The recovery process is a multi-step operation designed to separate the enzyme from the microbial biomass and purify, concentrate, and stabilise the food enzyme. </w:t>
      </w:r>
    </w:p>
    <w:p w14:paraId="4A1EF8DF" w14:textId="77777777" w:rsidR="00691270" w:rsidRPr="00EE5EA4" w:rsidRDefault="00691270" w:rsidP="00691270">
      <w:pPr>
        <w:widowControl/>
        <w:autoSpaceDE w:val="0"/>
        <w:autoSpaceDN w:val="0"/>
        <w:adjustRightInd w:val="0"/>
        <w:rPr>
          <w:lang w:eastAsia="en-AU" w:bidi="ar-SA"/>
        </w:rPr>
      </w:pPr>
    </w:p>
    <w:p w14:paraId="6E4AED5C" w14:textId="71330DCF" w:rsidR="00581A11" w:rsidRPr="006170EC" w:rsidRDefault="00581A11" w:rsidP="00E91479">
      <w:pPr>
        <w:widowControl/>
        <w:autoSpaceDE w:val="0"/>
        <w:autoSpaceDN w:val="0"/>
        <w:adjustRightInd w:val="0"/>
        <w:rPr>
          <w:rFonts w:eastAsia="Calibri"/>
          <w:szCs w:val="22"/>
          <w:lang w:bidi="ar-SA"/>
        </w:rPr>
      </w:pPr>
      <w:r>
        <w:rPr>
          <w:lang w:eastAsia="en-AU" w:bidi="ar-SA"/>
        </w:rPr>
        <w:t xml:space="preserve">Separation is achieved by either filtration, centrifugation, or a combination of both. </w:t>
      </w:r>
      <w:r w:rsidRPr="006170EC">
        <w:rPr>
          <w:rFonts w:eastAsia="Calibri"/>
          <w:szCs w:val="22"/>
          <w:lang w:bidi="ar-SA"/>
        </w:rPr>
        <w:t>The liquid containing the enzyme is then concentrated via ultrafiltration. Diafiltration</w:t>
      </w:r>
      <w:r w:rsidR="00B5041A">
        <w:rPr>
          <w:rStyle w:val="FootnoteReference"/>
          <w:rFonts w:eastAsia="Calibri"/>
          <w:szCs w:val="22"/>
          <w:lang w:bidi="ar-SA"/>
        </w:rPr>
        <w:footnoteReference w:id="5"/>
      </w:r>
      <w:r w:rsidRPr="006170EC">
        <w:rPr>
          <w:rFonts w:eastAsia="Calibri"/>
          <w:szCs w:val="22"/>
          <w:lang w:bidi="ar-SA"/>
        </w:rPr>
        <w:t xml:space="preserve"> </w:t>
      </w:r>
      <w:r w:rsidR="00DA3814" w:rsidRPr="006170EC">
        <w:rPr>
          <w:rFonts w:eastAsia="Calibri"/>
          <w:szCs w:val="22"/>
          <w:lang w:bidi="ar-SA"/>
        </w:rPr>
        <w:t xml:space="preserve">and carbon treatment </w:t>
      </w:r>
      <w:r w:rsidRPr="006170EC">
        <w:rPr>
          <w:rFonts w:eastAsia="Calibri"/>
          <w:szCs w:val="22"/>
          <w:lang w:bidi="ar-SA"/>
        </w:rPr>
        <w:t xml:space="preserve">may </w:t>
      </w:r>
      <w:r w:rsidR="00DA3814">
        <w:rPr>
          <w:rFonts w:eastAsia="Calibri"/>
          <w:szCs w:val="22"/>
          <w:lang w:bidi="ar-SA"/>
        </w:rPr>
        <w:t>also be used</w:t>
      </w:r>
      <w:r w:rsidRPr="006170EC">
        <w:rPr>
          <w:rFonts w:eastAsia="Calibri"/>
          <w:szCs w:val="22"/>
          <w:lang w:bidi="ar-SA"/>
        </w:rPr>
        <w:t xml:space="preserve"> </w:t>
      </w:r>
      <w:r w:rsidR="00294382">
        <w:rPr>
          <w:rFonts w:eastAsia="Calibri"/>
          <w:szCs w:val="22"/>
          <w:lang w:bidi="ar-SA"/>
        </w:rPr>
        <w:t>to</w:t>
      </w:r>
      <w:r w:rsidR="00DA3814" w:rsidRPr="00DA3814">
        <w:t xml:space="preserve"> </w:t>
      </w:r>
      <w:r w:rsidR="00DA3814">
        <w:t xml:space="preserve">ensure the </w:t>
      </w:r>
      <w:r w:rsidR="00DA3814" w:rsidRPr="00DA3814">
        <w:rPr>
          <w:rFonts w:eastAsia="Calibri"/>
          <w:szCs w:val="22"/>
          <w:lang w:bidi="ar-SA"/>
        </w:rPr>
        <w:t>enzyme achieves the activity</w:t>
      </w:r>
      <w:r w:rsidR="00DA3814">
        <w:rPr>
          <w:rFonts w:eastAsia="Calibri"/>
          <w:szCs w:val="22"/>
          <w:lang w:bidi="ar-SA"/>
        </w:rPr>
        <w:t xml:space="preserve"> target, </w:t>
      </w:r>
      <w:r w:rsidR="00294382">
        <w:rPr>
          <w:rFonts w:eastAsia="Calibri"/>
          <w:szCs w:val="22"/>
          <w:lang w:bidi="ar-SA"/>
        </w:rPr>
        <w:t>remove contaminants</w:t>
      </w:r>
      <w:r w:rsidR="00DA3814">
        <w:rPr>
          <w:rFonts w:eastAsia="Calibri"/>
          <w:szCs w:val="22"/>
          <w:lang w:bidi="ar-SA"/>
        </w:rPr>
        <w:t xml:space="preserve"> and reduce</w:t>
      </w:r>
      <w:r w:rsidR="00294382">
        <w:rPr>
          <w:rFonts w:eastAsia="Calibri"/>
          <w:szCs w:val="22"/>
          <w:lang w:bidi="ar-SA"/>
        </w:rPr>
        <w:t xml:space="preserve"> colour</w:t>
      </w:r>
      <w:r w:rsidRPr="006170EC">
        <w:rPr>
          <w:rFonts w:eastAsia="Calibri"/>
          <w:szCs w:val="22"/>
          <w:lang w:bidi="ar-SA"/>
        </w:rPr>
        <w:t xml:space="preserve">. The </w:t>
      </w:r>
      <w:r w:rsidR="008D26D6">
        <w:rPr>
          <w:rFonts w:eastAsia="Calibri"/>
          <w:szCs w:val="22"/>
          <w:lang w:bidi="ar-SA"/>
        </w:rPr>
        <w:t xml:space="preserve">final recovery step is </w:t>
      </w:r>
      <w:r w:rsidRPr="006170EC">
        <w:rPr>
          <w:rFonts w:eastAsia="Calibri"/>
          <w:szCs w:val="22"/>
          <w:lang w:bidi="ar-SA"/>
        </w:rPr>
        <w:t xml:space="preserve">polish filtration </w:t>
      </w:r>
      <w:r w:rsidR="008D26D6">
        <w:rPr>
          <w:rFonts w:eastAsia="Calibri"/>
          <w:szCs w:val="22"/>
          <w:lang w:bidi="ar-SA"/>
        </w:rPr>
        <w:t xml:space="preserve">before being </w:t>
      </w:r>
      <w:r w:rsidRPr="006170EC">
        <w:rPr>
          <w:rFonts w:eastAsia="Calibri"/>
          <w:szCs w:val="22"/>
          <w:lang w:bidi="ar-SA"/>
        </w:rPr>
        <w:t>dried and agglomerated</w:t>
      </w:r>
      <w:r w:rsidR="008D26D6">
        <w:rPr>
          <w:rFonts w:eastAsia="Calibri"/>
          <w:szCs w:val="22"/>
          <w:lang w:bidi="ar-SA"/>
        </w:rPr>
        <w:t xml:space="preserve"> for formulation</w:t>
      </w:r>
      <w:r w:rsidRPr="006170EC">
        <w:rPr>
          <w:rFonts w:eastAsia="Calibri"/>
          <w:szCs w:val="22"/>
          <w:lang w:bidi="ar-SA"/>
        </w:rPr>
        <w:t>.</w:t>
      </w:r>
    </w:p>
    <w:p w14:paraId="353B6AD6" w14:textId="77777777" w:rsidR="006A1E1D" w:rsidRDefault="006A1E1D" w:rsidP="00691270">
      <w:pPr>
        <w:widowControl/>
        <w:autoSpaceDE w:val="0"/>
        <w:autoSpaceDN w:val="0"/>
        <w:adjustRightInd w:val="0"/>
        <w:rPr>
          <w:rFonts w:ascii="CIDFont+F2" w:eastAsia="Calibri" w:hAnsi="CIDFont+F2" w:cs="CIDFont+F2"/>
          <w:b/>
          <w:szCs w:val="22"/>
          <w:lang w:bidi="ar-SA"/>
        </w:rPr>
      </w:pPr>
    </w:p>
    <w:p w14:paraId="7071A316" w14:textId="058D295E" w:rsidR="006A1E1D" w:rsidRDefault="006A1E1D" w:rsidP="00691270">
      <w:pPr>
        <w:widowControl/>
        <w:autoSpaceDE w:val="0"/>
        <w:autoSpaceDN w:val="0"/>
        <w:adjustRightInd w:val="0"/>
        <w:rPr>
          <w:rFonts w:ascii="CIDFont+F2" w:eastAsia="Calibri" w:hAnsi="CIDFont+F2" w:cs="CIDFont+F2"/>
          <w:b/>
          <w:szCs w:val="22"/>
          <w:lang w:bidi="ar-SA"/>
        </w:rPr>
      </w:pPr>
      <w:r w:rsidRPr="006A1E1D">
        <w:rPr>
          <w:rFonts w:ascii="CIDFont+F2" w:eastAsia="Calibri" w:hAnsi="CIDFont+F2" w:cs="CIDFont+F2"/>
          <w:b/>
          <w:szCs w:val="22"/>
          <w:lang w:bidi="ar-SA"/>
        </w:rPr>
        <w:t>Formulation</w:t>
      </w:r>
    </w:p>
    <w:p w14:paraId="2992491F" w14:textId="4645B288" w:rsidR="00581A11" w:rsidRPr="006170EC" w:rsidRDefault="00581A11" w:rsidP="00581A11">
      <w:pPr>
        <w:widowControl/>
        <w:rPr>
          <w:rFonts w:eastAsia="Calibri"/>
          <w:szCs w:val="22"/>
          <w:lang w:bidi="ar-SA"/>
        </w:rPr>
      </w:pPr>
      <w:r w:rsidRPr="006170EC">
        <w:rPr>
          <w:rFonts w:eastAsia="Calibri"/>
          <w:szCs w:val="22"/>
          <w:lang w:bidi="ar-SA"/>
        </w:rPr>
        <w:t xml:space="preserve">The ultrafiltered concentrate is formulated and </w:t>
      </w:r>
      <w:r w:rsidR="00E26837">
        <w:rPr>
          <w:rFonts w:eastAsia="Calibri"/>
          <w:szCs w:val="22"/>
          <w:lang w:bidi="ar-SA"/>
        </w:rPr>
        <w:t>packaged for commercial sale</w:t>
      </w:r>
      <w:r w:rsidR="00AD47EB" w:rsidRPr="006014F1">
        <w:t>.</w:t>
      </w:r>
      <w:r w:rsidR="00576406">
        <w:t xml:space="preserve"> </w:t>
      </w:r>
      <w:r w:rsidRPr="006170EC">
        <w:rPr>
          <w:rFonts w:eastAsia="Calibri"/>
          <w:szCs w:val="22"/>
          <w:lang w:bidi="ar-SA"/>
        </w:rPr>
        <w:t>The production process follows standard industry practices and is conducted in accordance with GMP.</w:t>
      </w:r>
    </w:p>
    <w:p w14:paraId="0D830194" w14:textId="042CE3A5" w:rsidR="001E6A7B" w:rsidRDefault="001E6A7B" w:rsidP="00D15645">
      <w:pPr>
        <w:pStyle w:val="Heading3"/>
      </w:pPr>
      <w:bookmarkStart w:id="30" w:name="_Toc533087512"/>
      <w:bookmarkStart w:id="31" w:name="_Toc534297205"/>
      <w:r>
        <w:t>2.2.2</w:t>
      </w:r>
      <w:r w:rsidR="0035149D">
        <w:tab/>
      </w:r>
      <w:r>
        <w:t>Specifications</w:t>
      </w:r>
      <w:bookmarkEnd w:id="30"/>
      <w:bookmarkEnd w:id="31"/>
    </w:p>
    <w:p w14:paraId="161CB1EA" w14:textId="236B051A" w:rsidR="00691270" w:rsidRPr="00EE5EA4" w:rsidRDefault="00691270" w:rsidP="00691270">
      <w:pPr>
        <w:widowControl/>
        <w:autoSpaceDE w:val="0"/>
        <w:autoSpaceDN w:val="0"/>
        <w:adjustRightInd w:val="0"/>
        <w:rPr>
          <w:lang w:eastAsia="en-AU" w:bidi="ar-SA"/>
        </w:rPr>
      </w:pPr>
      <w:r w:rsidRPr="00EE5EA4">
        <w:rPr>
          <w:lang w:eastAsia="en-AU" w:bidi="ar-SA"/>
        </w:rPr>
        <w:t xml:space="preserve">There are international specifications for enzyme preparations used in </w:t>
      </w:r>
      <w:r w:rsidR="00443A9D" w:rsidRPr="006014F1">
        <w:t>the production of food</w:t>
      </w:r>
      <w:r w:rsidRPr="00EE5EA4">
        <w:rPr>
          <w:lang w:eastAsia="en-AU" w:bidi="ar-SA"/>
        </w:rPr>
        <w:t xml:space="preserve">. These have been established by the Joint FAO/WHO Expert Committee on Food Additives (JECFA) </w:t>
      </w:r>
      <w:r w:rsidR="00443A9D">
        <w:t xml:space="preserve">Compendium of Food Additive Specifications </w:t>
      </w:r>
      <w:r w:rsidR="00443A9D" w:rsidRPr="006014F1">
        <w:t>(</w:t>
      </w:r>
      <w:r w:rsidR="00DD0FD4">
        <w:t>JECFA</w:t>
      </w:r>
      <w:r w:rsidR="00443A9D">
        <w:t xml:space="preserve"> </w:t>
      </w:r>
      <w:r w:rsidR="00443A9D" w:rsidRPr="00312F00">
        <w:t>2016</w:t>
      </w:r>
      <w:r w:rsidR="00443A9D" w:rsidRPr="006014F1">
        <w:t xml:space="preserve">) and the </w:t>
      </w:r>
      <w:r w:rsidR="00443A9D">
        <w:t xml:space="preserve">United States Pharmacopeial Convention </w:t>
      </w:r>
      <w:r w:rsidR="00DD0FD4">
        <w:t xml:space="preserve">(USPC) </w:t>
      </w:r>
      <w:r w:rsidR="00DD0FD4" w:rsidRPr="00B10A08">
        <w:t xml:space="preserve">Food Chemicals </w:t>
      </w:r>
      <w:r w:rsidR="00DD0FD4">
        <w:t>Codex 11</w:t>
      </w:r>
      <w:r w:rsidR="00DD0FD4" w:rsidRPr="00B10A08">
        <w:rPr>
          <w:vertAlign w:val="superscript"/>
        </w:rPr>
        <w:t>th</w:t>
      </w:r>
      <w:r w:rsidR="00DD0FD4">
        <w:t xml:space="preserve"> edition (USPC 2018)</w:t>
      </w:r>
      <w:r w:rsidR="00DD0FD4" w:rsidRPr="00B10A08">
        <w:t>.</w:t>
      </w:r>
      <w:r w:rsidR="00DD0FD4">
        <w:t xml:space="preserve"> </w:t>
      </w:r>
      <w:r w:rsidRPr="00EE5EA4">
        <w:rPr>
          <w:lang w:eastAsia="en-AU" w:bidi="ar-SA"/>
        </w:rPr>
        <w:t>Both of these specification sources are primary sources listed in section S3—2 of the Code. Enzyme preparations must meet these specifications.</w:t>
      </w:r>
    </w:p>
    <w:p w14:paraId="65E21886" w14:textId="77777777" w:rsidR="00691270" w:rsidRPr="00EE5EA4" w:rsidRDefault="00691270" w:rsidP="00691270">
      <w:pPr>
        <w:widowControl/>
        <w:autoSpaceDE w:val="0"/>
        <w:autoSpaceDN w:val="0"/>
        <w:adjustRightInd w:val="0"/>
        <w:rPr>
          <w:lang w:eastAsia="en-AU" w:bidi="ar-SA"/>
        </w:rPr>
      </w:pPr>
    </w:p>
    <w:p w14:paraId="2DD3C790" w14:textId="485B5B08" w:rsidR="00691270" w:rsidRPr="00EE5EA4" w:rsidRDefault="00691270" w:rsidP="00691270">
      <w:pPr>
        <w:widowControl/>
        <w:autoSpaceDE w:val="0"/>
        <w:autoSpaceDN w:val="0"/>
        <w:adjustRightInd w:val="0"/>
        <w:rPr>
          <w:lang w:eastAsia="en-AU" w:bidi="ar-SA"/>
        </w:rPr>
      </w:pPr>
      <w:r w:rsidRPr="00EE5EA4">
        <w:rPr>
          <w:lang w:eastAsia="en-AU" w:bidi="ar-SA"/>
        </w:rPr>
        <w:t xml:space="preserve">Table </w:t>
      </w:r>
      <w:r w:rsidR="009871FD">
        <w:rPr>
          <w:lang w:eastAsia="en-AU" w:bidi="ar-SA"/>
        </w:rPr>
        <w:t>3</w:t>
      </w:r>
      <w:r w:rsidRPr="00EE5EA4">
        <w:rPr>
          <w:lang w:eastAsia="en-AU" w:bidi="ar-SA"/>
        </w:rPr>
        <w:t xml:space="preserve"> provides a comparison of representative batch analysis of </w:t>
      </w:r>
      <w:r w:rsidR="00EA0E7F">
        <w:rPr>
          <w:lang w:eastAsia="en-AU" w:bidi="ar-SA"/>
        </w:rPr>
        <w:t>AFP</w:t>
      </w:r>
      <w:r w:rsidRPr="00EE5EA4">
        <w:rPr>
          <w:lang w:eastAsia="en-AU" w:bidi="ar-SA"/>
        </w:rPr>
        <w:t xml:space="preserve"> with the international specifications established by JECFA and </w:t>
      </w:r>
      <w:r w:rsidR="00DD0FD4">
        <w:rPr>
          <w:lang w:eastAsia="en-AU" w:bidi="ar-SA"/>
        </w:rPr>
        <w:t>USPC</w:t>
      </w:r>
      <w:r w:rsidRPr="00EE5EA4">
        <w:rPr>
          <w:lang w:eastAsia="en-AU" w:bidi="ar-SA"/>
        </w:rPr>
        <w:t>, as well as those detailed in the Code (as applicable).</w:t>
      </w:r>
    </w:p>
    <w:p w14:paraId="309BB4F5" w14:textId="77777777" w:rsidR="00691270" w:rsidRPr="00EE5EA4" w:rsidRDefault="00691270" w:rsidP="00691270">
      <w:pPr>
        <w:widowControl/>
        <w:autoSpaceDE w:val="0"/>
        <w:autoSpaceDN w:val="0"/>
        <w:adjustRightInd w:val="0"/>
        <w:rPr>
          <w:lang w:eastAsia="en-AU" w:bidi="ar-SA"/>
        </w:rPr>
      </w:pPr>
    </w:p>
    <w:p w14:paraId="6079E615" w14:textId="0A0232F4" w:rsidR="00691270" w:rsidRPr="00EE5EA4" w:rsidRDefault="00691270" w:rsidP="00691270">
      <w:pPr>
        <w:widowControl/>
        <w:autoSpaceDE w:val="0"/>
        <w:autoSpaceDN w:val="0"/>
        <w:adjustRightInd w:val="0"/>
        <w:rPr>
          <w:rFonts w:eastAsia="Calibri" w:cs="Arial"/>
          <w:szCs w:val="22"/>
          <w:lang w:bidi="ar-SA"/>
        </w:rPr>
      </w:pPr>
      <w:r w:rsidRPr="00EE5EA4">
        <w:rPr>
          <w:rFonts w:eastAsia="Calibri" w:cs="Arial"/>
          <w:b/>
          <w:i/>
          <w:szCs w:val="22"/>
          <w:lang w:bidi="ar-SA"/>
        </w:rPr>
        <w:t xml:space="preserve">Table </w:t>
      </w:r>
      <w:r w:rsidR="009871FD">
        <w:rPr>
          <w:rFonts w:eastAsia="Calibri" w:cs="Arial"/>
          <w:b/>
          <w:i/>
          <w:szCs w:val="22"/>
          <w:lang w:bidi="ar-SA"/>
        </w:rPr>
        <w:t>3</w:t>
      </w:r>
      <w:r w:rsidR="00E17B80">
        <w:rPr>
          <w:rFonts w:eastAsia="Calibri" w:cs="Arial"/>
          <w:szCs w:val="22"/>
          <w:lang w:bidi="ar-SA"/>
        </w:rPr>
        <w:tab/>
      </w:r>
      <w:r w:rsidRPr="00EE5EA4">
        <w:rPr>
          <w:rFonts w:eastAsia="Calibri" w:cs="Arial"/>
          <w:i/>
          <w:szCs w:val="22"/>
          <w:lang w:bidi="ar-SA"/>
        </w:rPr>
        <w:t>Product specifications for commercial enzyme preparation</w:t>
      </w:r>
    </w:p>
    <w:p w14:paraId="4581D3B1" w14:textId="77777777" w:rsidR="00BD59CB" w:rsidRPr="00EE5EA4" w:rsidRDefault="00BD59CB" w:rsidP="00691270">
      <w:pPr>
        <w:widowControl/>
        <w:autoSpaceDE w:val="0"/>
        <w:autoSpaceDN w:val="0"/>
        <w:adjustRightInd w:val="0"/>
        <w:rPr>
          <w:rFonts w:eastAsia="Calibri" w:cs="Arial"/>
          <w:szCs w:val="22"/>
          <w:lang w:bidi="ar-SA"/>
        </w:rPr>
      </w:pPr>
    </w:p>
    <w:tbl>
      <w:tblPr>
        <w:tblStyle w:val="TableGrid2"/>
        <w:tblW w:w="5000" w:type="pct"/>
        <w:jc w:val="center"/>
        <w:tblLook w:val="04A0" w:firstRow="1" w:lastRow="0" w:firstColumn="1" w:lastColumn="0" w:noHBand="0" w:noVBand="1"/>
      </w:tblPr>
      <w:tblGrid>
        <w:gridCol w:w="1579"/>
        <w:gridCol w:w="1506"/>
        <w:gridCol w:w="1446"/>
        <w:gridCol w:w="1419"/>
        <w:gridCol w:w="924"/>
        <w:gridCol w:w="1218"/>
        <w:gridCol w:w="968"/>
      </w:tblGrid>
      <w:tr w:rsidR="00613E71" w:rsidRPr="00EE5EA4" w14:paraId="22A25F5A" w14:textId="77777777" w:rsidTr="00F340A8">
        <w:trPr>
          <w:tblHeader/>
          <w:jc w:val="center"/>
        </w:trPr>
        <w:tc>
          <w:tcPr>
            <w:tcW w:w="872" w:type="pct"/>
            <w:vMerge w:val="restart"/>
            <w:vAlign w:val="center"/>
          </w:tcPr>
          <w:p w14:paraId="3F7C8D9E" w14:textId="77777777" w:rsidR="00613E71" w:rsidRPr="00EE5EA4" w:rsidRDefault="00613E71" w:rsidP="00691270">
            <w:pPr>
              <w:widowControl/>
              <w:autoSpaceDE w:val="0"/>
              <w:autoSpaceDN w:val="0"/>
              <w:adjustRightInd w:val="0"/>
              <w:jc w:val="center"/>
              <w:rPr>
                <w:b/>
                <w:sz w:val="20"/>
                <w:szCs w:val="20"/>
                <w:lang w:bidi="ar-SA"/>
              </w:rPr>
            </w:pPr>
            <w:r w:rsidRPr="00EE5EA4">
              <w:rPr>
                <w:b/>
                <w:sz w:val="20"/>
                <w:szCs w:val="20"/>
                <w:lang w:bidi="ar-SA"/>
              </w:rPr>
              <w:t>Analysis</w:t>
            </w:r>
          </w:p>
        </w:tc>
        <w:tc>
          <w:tcPr>
            <w:tcW w:w="2411" w:type="pct"/>
            <w:gridSpan w:val="3"/>
            <w:vMerge w:val="restart"/>
            <w:vAlign w:val="center"/>
          </w:tcPr>
          <w:p w14:paraId="768BA36E" w14:textId="26AA661A" w:rsidR="00613E71" w:rsidRPr="00EE5EA4" w:rsidRDefault="00613E71" w:rsidP="00613E71">
            <w:pPr>
              <w:widowControl/>
              <w:autoSpaceDE w:val="0"/>
              <w:autoSpaceDN w:val="0"/>
              <w:adjustRightInd w:val="0"/>
              <w:jc w:val="center"/>
              <w:rPr>
                <w:b/>
                <w:sz w:val="20"/>
                <w:szCs w:val="20"/>
                <w:lang w:bidi="ar-SA"/>
              </w:rPr>
            </w:pPr>
            <w:r w:rsidRPr="00EE5EA4">
              <w:rPr>
                <w:b/>
                <w:sz w:val="20"/>
                <w:szCs w:val="20"/>
                <w:lang w:bidi="ar-SA"/>
              </w:rPr>
              <w:t>Enzyme batch analysis</w:t>
            </w:r>
          </w:p>
        </w:tc>
        <w:tc>
          <w:tcPr>
            <w:tcW w:w="1717" w:type="pct"/>
            <w:gridSpan w:val="3"/>
            <w:vAlign w:val="center"/>
          </w:tcPr>
          <w:p w14:paraId="64260BDF" w14:textId="4F6526BB" w:rsidR="00613E71" w:rsidRPr="00EE5EA4" w:rsidRDefault="00613E71" w:rsidP="00691270">
            <w:pPr>
              <w:keepNext/>
              <w:keepLines/>
              <w:jc w:val="center"/>
              <w:rPr>
                <w:b/>
                <w:sz w:val="20"/>
                <w:szCs w:val="20"/>
              </w:rPr>
            </w:pPr>
            <w:r w:rsidRPr="00EE5EA4">
              <w:rPr>
                <w:b/>
                <w:sz w:val="20"/>
                <w:szCs w:val="20"/>
              </w:rPr>
              <w:t>Specifications</w:t>
            </w:r>
          </w:p>
        </w:tc>
      </w:tr>
      <w:tr w:rsidR="00613E71" w:rsidRPr="00EE5EA4" w14:paraId="4FCE4138" w14:textId="77777777" w:rsidTr="00F340A8">
        <w:trPr>
          <w:tblHeader/>
          <w:jc w:val="center"/>
        </w:trPr>
        <w:tc>
          <w:tcPr>
            <w:tcW w:w="872" w:type="pct"/>
            <w:vMerge/>
            <w:vAlign w:val="center"/>
          </w:tcPr>
          <w:p w14:paraId="4A30C467" w14:textId="77777777" w:rsidR="00613E71" w:rsidRPr="00EE5EA4" w:rsidRDefault="00613E71" w:rsidP="00691270">
            <w:pPr>
              <w:widowControl/>
              <w:autoSpaceDE w:val="0"/>
              <w:autoSpaceDN w:val="0"/>
              <w:adjustRightInd w:val="0"/>
              <w:jc w:val="center"/>
              <w:rPr>
                <w:b/>
                <w:sz w:val="20"/>
                <w:szCs w:val="20"/>
                <w:lang w:bidi="ar-SA"/>
              </w:rPr>
            </w:pPr>
          </w:p>
        </w:tc>
        <w:tc>
          <w:tcPr>
            <w:tcW w:w="2411" w:type="pct"/>
            <w:gridSpan w:val="3"/>
            <w:vMerge/>
            <w:vAlign w:val="center"/>
          </w:tcPr>
          <w:p w14:paraId="3453BE6D" w14:textId="69F4D149" w:rsidR="00613E71" w:rsidRPr="00EE5EA4" w:rsidRDefault="00613E71" w:rsidP="00691270">
            <w:pPr>
              <w:widowControl/>
              <w:autoSpaceDE w:val="0"/>
              <w:autoSpaceDN w:val="0"/>
              <w:adjustRightInd w:val="0"/>
              <w:jc w:val="center"/>
              <w:rPr>
                <w:b/>
                <w:sz w:val="20"/>
                <w:szCs w:val="20"/>
                <w:lang w:bidi="ar-SA"/>
              </w:rPr>
            </w:pPr>
          </w:p>
        </w:tc>
        <w:tc>
          <w:tcPr>
            <w:tcW w:w="510" w:type="pct"/>
            <w:vAlign w:val="center"/>
          </w:tcPr>
          <w:p w14:paraId="276FD946" w14:textId="01B9147D" w:rsidR="00613E71" w:rsidRPr="00EE5EA4" w:rsidRDefault="00613E71" w:rsidP="00691270">
            <w:pPr>
              <w:widowControl/>
              <w:autoSpaceDE w:val="0"/>
              <w:autoSpaceDN w:val="0"/>
              <w:adjustRightInd w:val="0"/>
              <w:jc w:val="center"/>
              <w:rPr>
                <w:b/>
                <w:sz w:val="20"/>
                <w:szCs w:val="20"/>
                <w:lang w:bidi="ar-SA"/>
              </w:rPr>
            </w:pPr>
            <w:r w:rsidRPr="00EE5EA4">
              <w:rPr>
                <w:b/>
                <w:sz w:val="20"/>
                <w:szCs w:val="20"/>
                <w:lang w:bidi="ar-SA"/>
              </w:rPr>
              <w:t>JECFA</w:t>
            </w:r>
          </w:p>
        </w:tc>
        <w:tc>
          <w:tcPr>
            <w:tcW w:w="672" w:type="pct"/>
            <w:vAlign w:val="center"/>
          </w:tcPr>
          <w:p w14:paraId="08EF2A19" w14:textId="38497DCF" w:rsidR="00613E71" w:rsidRPr="00EE5EA4" w:rsidRDefault="00DD0FD4" w:rsidP="00691270">
            <w:pPr>
              <w:widowControl/>
              <w:autoSpaceDE w:val="0"/>
              <w:autoSpaceDN w:val="0"/>
              <w:adjustRightInd w:val="0"/>
              <w:jc w:val="center"/>
              <w:rPr>
                <w:b/>
                <w:sz w:val="20"/>
                <w:szCs w:val="20"/>
                <w:lang w:bidi="ar-SA"/>
              </w:rPr>
            </w:pPr>
            <w:r>
              <w:rPr>
                <w:b/>
                <w:sz w:val="20"/>
                <w:szCs w:val="20"/>
                <w:lang w:bidi="ar-SA"/>
              </w:rPr>
              <w:t>USPC</w:t>
            </w:r>
          </w:p>
        </w:tc>
        <w:tc>
          <w:tcPr>
            <w:tcW w:w="535" w:type="pct"/>
            <w:vAlign w:val="center"/>
          </w:tcPr>
          <w:p w14:paraId="5A2EC87D" w14:textId="77777777" w:rsidR="00613E71" w:rsidRPr="00EE5EA4" w:rsidRDefault="00613E71" w:rsidP="00691270">
            <w:pPr>
              <w:widowControl/>
              <w:autoSpaceDE w:val="0"/>
              <w:autoSpaceDN w:val="0"/>
              <w:adjustRightInd w:val="0"/>
              <w:jc w:val="center"/>
              <w:rPr>
                <w:sz w:val="20"/>
                <w:szCs w:val="20"/>
                <w:lang w:bidi="ar-SA"/>
              </w:rPr>
            </w:pPr>
            <w:r w:rsidRPr="00EE5EA4">
              <w:rPr>
                <w:b/>
                <w:sz w:val="20"/>
                <w:szCs w:val="20"/>
              </w:rPr>
              <w:t>the Code</w:t>
            </w:r>
          </w:p>
        </w:tc>
      </w:tr>
      <w:tr w:rsidR="00613E71" w:rsidRPr="00EE5EA4" w14:paraId="5646CBAE" w14:textId="77777777" w:rsidTr="0033375E">
        <w:trPr>
          <w:jc w:val="center"/>
        </w:trPr>
        <w:tc>
          <w:tcPr>
            <w:tcW w:w="872" w:type="pct"/>
            <w:vAlign w:val="center"/>
          </w:tcPr>
          <w:p w14:paraId="36A8EB12" w14:textId="1EA6E8A3" w:rsidR="00613E71" w:rsidRPr="00EE5EA4" w:rsidRDefault="00294382" w:rsidP="00613E71">
            <w:pPr>
              <w:widowControl/>
              <w:autoSpaceDE w:val="0"/>
              <w:autoSpaceDN w:val="0"/>
              <w:adjustRightInd w:val="0"/>
              <w:rPr>
                <w:sz w:val="20"/>
                <w:szCs w:val="20"/>
                <w:lang w:bidi="ar-SA"/>
              </w:rPr>
            </w:pPr>
            <w:r>
              <w:rPr>
                <w:sz w:val="20"/>
                <w:szCs w:val="20"/>
                <w:lang w:bidi="ar-SA"/>
              </w:rPr>
              <w:t>Lead</w:t>
            </w:r>
            <w:r w:rsidRPr="00EE5EA4">
              <w:rPr>
                <w:sz w:val="20"/>
                <w:szCs w:val="20"/>
                <w:lang w:bidi="ar-SA"/>
              </w:rPr>
              <w:t xml:space="preserve"> </w:t>
            </w:r>
            <w:r w:rsidR="00613E71" w:rsidRPr="00EE5EA4">
              <w:rPr>
                <w:sz w:val="20"/>
                <w:szCs w:val="20"/>
                <w:lang w:bidi="ar-SA"/>
              </w:rPr>
              <w:t>(mg/kg)</w:t>
            </w:r>
          </w:p>
        </w:tc>
        <w:tc>
          <w:tcPr>
            <w:tcW w:w="831" w:type="pct"/>
            <w:vAlign w:val="center"/>
          </w:tcPr>
          <w:p w14:paraId="43C6EEC7" w14:textId="19CD36AD" w:rsidR="00613E71" w:rsidRDefault="00613E71" w:rsidP="00613E71">
            <w:pPr>
              <w:widowControl/>
              <w:autoSpaceDE w:val="0"/>
              <w:autoSpaceDN w:val="0"/>
              <w:adjustRightInd w:val="0"/>
              <w:jc w:val="center"/>
              <w:rPr>
                <w:sz w:val="20"/>
                <w:szCs w:val="20"/>
                <w:lang w:bidi="ar-SA"/>
              </w:rPr>
            </w:pPr>
            <w:r>
              <w:rPr>
                <w:sz w:val="20"/>
                <w:szCs w:val="20"/>
                <w:lang w:bidi="ar-SA"/>
              </w:rPr>
              <w:t>ND</w:t>
            </w:r>
          </w:p>
          <w:p w14:paraId="094ED055" w14:textId="5EAD9200" w:rsidR="00613E71" w:rsidRPr="00EE5EA4" w:rsidRDefault="00613E71" w:rsidP="00613E71">
            <w:pPr>
              <w:widowControl/>
              <w:autoSpaceDE w:val="0"/>
              <w:autoSpaceDN w:val="0"/>
              <w:adjustRightInd w:val="0"/>
              <w:jc w:val="center"/>
              <w:rPr>
                <w:sz w:val="20"/>
                <w:szCs w:val="20"/>
                <w:lang w:bidi="ar-SA"/>
              </w:rPr>
            </w:pPr>
            <w:r>
              <w:rPr>
                <w:sz w:val="20"/>
                <w:szCs w:val="20"/>
                <w:lang w:bidi="ar-SA"/>
              </w:rPr>
              <w:t>(DL &lt; 0.001)</w:t>
            </w:r>
          </w:p>
        </w:tc>
        <w:tc>
          <w:tcPr>
            <w:tcW w:w="798" w:type="pct"/>
            <w:vAlign w:val="center"/>
          </w:tcPr>
          <w:p w14:paraId="650B9694" w14:textId="70B75A58" w:rsidR="00613E71" w:rsidRDefault="00613E71" w:rsidP="00613E71">
            <w:pPr>
              <w:widowControl/>
              <w:autoSpaceDE w:val="0"/>
              <w:autoSpaceDN w:val="0"/>
              <w:adjustRightInd w:val="0"/>
              <w:jc w:val="center"/>
              <w:rPr>
                <w:sz w:val="20"/>
                <w:szCs w:val="20"/>
                <w:lang w:bidi="ar-SA"/>
              </w:rPr>
            </w:pPr>
            <w:r>
              <w:rPr>
                <w:sz w:val="20"/>
                <w:szCs w:val="20"/>
                <w:lang w:bidi="ar-SA"/>
              </w:rPr>
              <w:t>ND</w:t>
            </w:r>
          </w:p>
          <w:p w14:paraId="6B11923A" w14:textId="204DD5B0" w:rsidR="00613E71" w:rsidRPr="00EE5EA4" w:rsidRDefault="00613E71" w:rsidP="00613E71">
            <w:pPr>
              <w:widowControl/>
              <w:autoSpaceDE w:val="0"/>
              <w:autoSpaceDN w:val="0"/>
              <w:adjustRightInd w:val="0"/>
              <w:jc w:val="center"/>
              <w:rPr>
                <w:sz w:val="20"/>
                <w:szCs w:val="20"/>
                <w:lang w:bidi="ar-SA"/>
              </w:rPr>
            </w:pPr>
            <w:r>
              <w:rPr>
                <w:sz w:val="20"/>
                <w:szCs w:val="20"/>
                <w:lang w:bidi="ar-SA"/>
              </w:rPr>
              <w:t>(DL &lt; 0.001)</w:t>
            </w:r>
          </w:p>
        </w:tc>
        <w:tc>
          <w:tcPr>
            <w:tcW w:w="783" w:type="pct"/>
            <w:vAlign w:val="center"/>
          </w:tcPr>
          <w:p w14:paraId="54075923" w14:textId="4511D775" w:rsidR="00613E71" w:rsidRDefault="00613E71" w:rsidP="00613E71">
            <w:pPr>
              <w:widowControl/>
              <w:autoSpaceDE w:val="0"/>
              <w:autoSpaceDN w:val="0"/>
              <w:adjustRightInd w:val="0"/>
              <w:jc w:val="center"/>
              <w:rPr>
                <w:sz w:val="20"/>
                <w:szCs w:val="20"/>
                <w:lang w:bidi="ar-SA"/>
              </w:rPr>
            </w:pPr>
            <w:r>
              <w:rPr>
                <w:sz w:val="20"/>
                <w:szCs w:val="20"/>
                <w:lang w:bidi="ar-SA"/>
              </w:rPr>
              <w:t>ND</w:t>
            </w:r>
          </w:p>
          <w:p w14:paraId="56B53A5B" w14:textId="55A5C870" w:rsidR="00613E71" w:rsidRPr="00EE5EA4" w:rsidRDefault="00613E71" w:rsidP="00613E71">
            <w:pPr>
              <w:widowControl/>
              <w:autoSpaceDE w:val="0"/>
              <w:autoSpaceDN w:val="0"/>
              <w:adjustRightInd w:val="0"/>
              <w:jc w:val="center"/>
              <w:rPr>
                <w:sz w:val="20"/>
                <w:szCs w:val="20"/>
                <w:lang w:bidi="ar-SA"/>
              </w:rPr>
            </w:pPr>
            <w:r>
              <w:rPr>
                <w:sz w:val="20"/>
                <w:szCs w:val="20"/>
                <w:lang w:bidi="ar-SA"/>
              </w:rPr>
              <w:t>(DL &lt; 0.001)</w:t>
            </w:r>
          </w:p>
        </w:tc>
        <w:tc>
          <w:tcPr>
            <w:tcW w:w="510" w:type="pct"/>
            <w:vAlign w:val="center"/>
          </w:tcPr>
          <w:p w14:paraId="2F9B0899" w14:textId="5404C98E"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 5</w:t>
            </w:r>
          </w:p>
        </w:tc>
        <w:tc>
          <w:tcPr>
            <w:tcW w:w="672" w:type="pct"/>
            <w:vAlign w:val="center"/>
          </w:tcPr>
          <w:p w14:paraId="69A5A681" w14:textId="77777777"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 5</w:t>
            </w:r>
          </w:p>
        </w:tc>
        <w:tc>
          <w:tcPr>
            <w:tcW w:w="535" w:type="pct"/>
            <w:vAlign w:val="center"/>
          </w:tcPr>
          <w:p w14:paraId="12F1834D" w14:textId="36627DE6" w:rsidR="00613E71" w:rsidRPr="00EE5EA4" w:rsidRDefault="00FC2D49" w:rsidP="00613E71">
            <w:pPr>
              <w:widowControl/>
              <w:autoSpaceDE w:val="0"/>
              <w:autoSpaceDN w:val="0"/>
              <w:adjustRightInd w:val="0"/>
              <w:jc w:val="center"/>
              <w:rPr>
                <w:sz w:val="20"/>
                <w:szCs w:val="20"/>
                <w:lang w:bidi="ar-SA"/>
              </w:rPr>
            </w:pPr>
            <w:r>
              <w:rPr>
                <w:sz w:val="20"/>
                <w:szCs w:val="20"/>
                <w:lang w:bidi="ar-SA"/>
              </w:rPr>
              <w:t>-</w:t>
            </w:r>
          </w:p>
        </w:tc>
      </w:tr>
      <w:tr w:rsidR="00613E71" w:rsidRPr="00EE5EA4" w14:paraId="689E6567" w14:textId="77777777" w:rsidTr="0033375E">
        <w:trPr>
          <w:jc w:val="center"/>
        </w:trPr>
        <w:tc>
          <w:tcPr>
            <w:tcW w:w="872" w:type="pct"/>
            <w:vAlign w:val="center"/>
          </w:tcPr>
          <w:p w14:paraId="7500C094" w14:textId="5E5E8ABA" w:rsidR="00613E71" w:rsidRPr="00F15128" w:rsidRDefault="00294382" w:rsidP="00613E71">
            <w:pPr>
              <w:widowControl/>
              <w:autoSpaceDE w:val="0"/>
              <w:autoSpaceDN w:val="0"/>
              <w:adjustRightInd w:val="0"/>
              <w:rPr>
                <w:sz w:val="20"/>
                <w:szCs w:val="20"/>
                <w:lang w:bidi="ar-SA"/>
              </w:rPr>
            </w:pPr>
            <w:r>
              <w:rPr>
                <w:sz w:val="20"/>
                <w:szCs w:val="20"/>
                <w:lang w:bidi="ar-SA"/>
              </w:rPr>
              <w:t>Arsenic</w:t>
            </w:r>
            <w:r w:rsidRPr="00F15128">
              <w:rPr>
                <w:sz w:val="20"/>
                <w:szCs w:val="20"/>
                <w:lang w:bidi="ar-SA"/>
              </w:rPr>
              <w:t xml:space="preserve"> </w:t>
            </w:r>
            <w:r w:rsidR="00613E71" w:rsidRPr="00F15128">
              <w:rPr>
                <w:sz w:val="20"/>
                <w:szCs w:val="20"/>
                <w:lang w:bidi="ar-SA"/>
              </w:rPr>
              <w:t>(mg/kg)</w:t>
            </w:r>
          </w:p>
        </w:tc>
        <w:tc>
          <w:tcPr>
            <w:tcW w:w="831" w:type="pct"/>
            <w:vAlign w:val="center"/>
          </w:tcPr>
          <w:p w14:paraId="38E8DCF6" w14:textId="78DAE728" w:rsidR="00613E71" w:rsidRPr="00F15128" w:rsidRDefault="00613E71" w:rsidP="00613E71">
            <w:pPr>
              <w:widowControl/>
              <w:autoSpaceDE w:val="0"/>
              <w:autoSpaceDN w:val="0"/>
              <w:adjustRightInd w:val="0"/>
              <w:jc w:val="center"/>
              <w:rPr>
                <w:sz w:val="20"/>
                <w:szCs w:val="20"/>
                <w:lang w:bidi="ar-SA"/>
              </w:rPr>
            </w:pPr>
            <w:r w:rsidRPr="00F15128">
              <w:rPr>
                <w:sz w:val="20"/>
                <w:szCs w:val="20"/>
                <w:lang w:bidi="ar-SA"/>
              </w:rPr>
              <w:t>0.0</w:t>
            </w:r>
            <w:r>
              <w:rPr>
                <w:sz w:val="20"/>
                <w:szCs w:val="20"/>
                <w:lang w:bidi="ar-SA"/>
              </w:rPr>
              <w:t>3</w:t>
            </w:r>
          </w:p>
        </w:tc>
        <w:tc>
          <w:tcPr>
            <w:tcW w:w="798" w:type="pct"/>
            <w:vAlign w:val="center"/>
          </w:tcPr>
          <w:p w14:paraId="1C872B22" w14:textId="7E3FCE89" w:rsidR="00613E71" w:rsidRPr="00EE5EA4" w:rsidRDefault="00613E71" w:rsidP="00613E71">
            <w:pPr>
              <w:widowControl/>
              <w:autoSpaceDE w:val="0"/>
              <w:autoSpaceDN w:val="0"/>
              <w:adjustRightInd w:val="0"/>
              <w:jc w:val="center"/>
              <w:rPr>
                <w:sz w:val="20"/>
                <w:szCs w:val="20"/>
                <w:lang w:bidi="ar-SA"/>
              </w:rPr>
            </w:pPr>
            <w:r w:rsidRPr="00F15128">
              <w:rPr>
                <w:sz w:val="20"/>
                <w:szCs w:val="20"/>
                <w:lang w:bidi="ar-SA"/>
              </w:rPr>
              <w:t>0.0</w:t>
            </w:r>
            <w:r>
              <w:rPr>
                <w:sz w:val="20"/>
                <w:szCs w:val="20"/>
                <w:lang w:bidi="ar-SA"/>
              </w:rPr>
              <w:t>2</w:t>
            </w:r>
          </w:p>
        </w:tc>
        <w:tc>
          <w:tcPr>
            <w:tcW w:w="783" w:type="pct"/>
            <w:vAlign w:val="center"/>
          </w:tcPr>
          <w:p w14:paraId="6BEE5C57" w14:textId="2CA3124C" w:rsidR="00613E71" w:rsidRPr="00EE5EA4" w:rsidRDefault="00613E71" w:rsidP="00613E71">
            <w:pPr>
              <w:widowControl/>
              <w:autoSpaceDE w:val="0"/>
              <w:autoSpaceDN w:val="0"/>
              <w:adjustRightInd w:val="0"/>
              <w:jc w:val="center"/>
              <w:rPr>
                <w:sz w:val="20"/>
                <w:szCs w:val="20"/>
                <w:lang w:bidi="ar-SA"/>
              </w:rPr>
            </w:pPr>
            <w:r w:rsidRPr="00F15128">
              <w:rPr>
                <w:sz w:val="20"/>
                <w:szCs w:val="20"/>
                <w:lang w:bidi="ar-SA"/>
              </w:rPr>
              <w:t>0.0</w:t>
            </w:r>
            <w:r>
              <w:rPr>
                <w:sz w:val="20"/>
                <w:szCs w:val="20"/>
                <w:lang w:bidi="ar-SA"/>
              </w:rPr>
              <w:t>2</w:t>
            </w:r>
          </w:p>
        </w:tc>
        <w:tc>
          <w:tcPr>
            <w:tcW w:w="510" w:type="pct"/>
            <w:vAlign w:val="center"/>
          </w:tcPr>
          <w:p w14:paraId="5871921F" w14:textId="42DE79AB"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c>
          <w:tcPr>
            <w:tcW w:w="672" w:type="pct"/>
            <w:vAlign w:val="center"/>
          </w:tcPr>
          <w:p w14:paraId="17FF976A" w14:textId="77777777"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c>
          <w:tcPr>
            <w:tcW w:w="535" w:type="pct"/>
            <w:vAlign w:val="center"/>
          </w:tcPr>
          <w:p w14:paraId="4360836B" w14:textId="476A25BA"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≤1</w:t>
            </w:r>
          </w:p>
        </w:tc>
      </w:tr>
      <w:tr w:rsidR="00613E71" w:rsidRPr="00EE5EA4" w14:paraId="1EC7612A" w14:textId="77777777" w:rsidTr="0033375E">
        <w:trPr>
          <w:jc w:val="center"/>
        </w:trPr>
        <w:tc>
          <w:tcPr>
            <w:tcW w:w="872" w:type="pct"/>
            <w:vAlign w:val="center"/>
          </w:tcPr>
          <w:p w14:paraId="1FA50FD7" w14:textId="1668BCE8" w:rsidR="00613E71" w:rsidRPr="00F15128" w:rsidRDefault="00294382" w:rsidP="00613E71">
            <w:pPr>
              <w:widowControl/>
              <w:autoSpaceDE w:val="0"/>
              <w:autoSpaceDN w:val="0"/>
              <w:adjustRightInd w:val="0"/>
              <w:rPr>
                <w:sz w:val="20"/>
                <w:szCs w:val="20"/>
                <w:lang w:bidi="ar-SA"/>
              </w:rPr>
            </w:pPr>
            <w:r>
              <w:rPr>
                <w:sz w:val="20"/>
                <w:szCs w:val="20"/>
                <w:lang w:bidi="ar-SA"/>
              </w:rPr>
              <w:t>Cadmium</w:t>
            </w:r>
            <w:r w:rsidRPr="00F15128">
              <w:rPr>
                <w:sz w:val="20"/>
                <w:szCs w:val="20"/>
                <w:lang w:bidi="ar-SA"/>
              </w:rPr>
              <w:t xml:space="preserve"> </w:t>
            </w:r>
            <w:r w:rsidR="00613E71" w:rsidRPr="00F15128">
              <w:rPr>
                <w:sz w:val="20"/>
                <w:szCs w:val="20"/>
                <w:lang w:bidi="ar-SA"/>
              </w:rPr>
              <w:t>(mg/kg)</w:t>
            </w:r>
          </w:p>
        </w:tc>
        <w:tc>
          <w:tcPr>
            <w:tcW w:w="831" w:type="pct"/>
            <w:vAlign w:val="center"/>
          </w:tcPr>
          <w:p w14:paraId="5BF74829" w14:textId="63F11E3F" w:rsidR="00613E71" w:rsidRDefault="00613E71" w:rsidP="00613E71">
            <w:pPr>
              <w:widowControl/>
              <w:autoSpaceDE w:val="0"/>
              <w:autoSpaceDN w:val="0"/>
              <w:adjustRightInd w:val="0"/>
              <w:jc w:val="center"/>
              <w:rPr>
                <w:sz w:val="20"/>
                <w:szCs w:val="20"/>
                <w:lang w:bidi="ar-SA"/>
              </w:rPr>
            </w:pPr>
            <w:r w:rsidRPr="00F15128">
              <w:rPr>
                <w:sz w:val="20"/>
                <w:szCs w:val="20"/>
                <w:lang w:bidi="ar-SA"/>
              </w:rPr>
              <w:t>ND</w:t>
            </w:r>
          </w:p>
          <w:p w14:paraId="1A5D6268" w14:textId="5BF187E5" w:rsidR="00613E71" w:rsidRPr="00F15128" w:rsidRDefault="00613E71" w:rsidP="00613E71">
            <w:pPr>
              <w:widowControl/>
              <w:autoSpaceDE w:val="0"/>
              <w:autoSpaceDN w:val="0"/>
              <w:adjustRightInd w:val="0"/>
              <w:jc w:val="center"/>
              <w:rPr>
                <w:sz w:val="20"/>
                <w:szCs w:val="20"/>
                <w:lang w:bidi="ar-SA"/>
              </w:rPr>
            </w:pPr>
            <w:r w:rsidRPr="00F15128">
              <w:rPr>
                <w:sz w:val="20"/>
                <w:szCs w:val="20"/>
                <w:lang w:bidi="ar-SA"/>
              </w:rPr>
              <w:t>(DL &lt; 0.001)</w:t>
            </w:r>
          </w:p>
        </w:tc>
        <w:tc>
          <w:tcPr>
            <w:tcW w:w="798" w:type="pct"/>
            <w:vAlign w:val="center"/>
          </w:tcPr>
          <w:p w14:paraId="5DA18292" w14:textId="34223AC4" w:rsidR="00613E71" w:rsidRDefault="00613E71" w:rsidP="00613E71">
            <w:pPr>
              <w:widowControl/>
              <w:autoSpaceDE w:val="0"/>
              <w:autoSpaceDN w:val="0"/>
              <w:adjustRightInd w:val="0"/>
              <w:jc w:val="center"/>
              <w:rPr>
                <w:sz w:val="20"/>
                <w:szCs w:val="20"/>
                <w:lang w:bidi="ar-SA"/>
              </w:rPr>
            </w:pPr>
            <w:r w:rsidRPr="00F15128">
              <w:rPr>
                <w:sz w:val="20"/>
                <w:szCs w:val="20"/>
                <w:lang w:bidi="ar-SA"/>
              </w:rPr>
              <w:t>ND</w:t>
            </w:r>
          </w:p>
          <w:p w14:paraId="62C24BAD" w14:textId="2C8DF94B" w:rsidR="00613E71" w:rsidRPr="00EE5EA4" w:rsidRDefault="00613E71" w:rsidP="00613E71">
            <w:pPr>
              <w:widowControl/>
              <w:autoSpaceDE w:val="0"/>
              <w:autoSpaceDN w:val="0"/>
              <w:adjustRightInd w:val="0"/>
              <w:jc w:val="center"/>
              <w:rPr>
                <w:sz w:val="20"/>
                <w:szCs w:val="20"/>
                <w:lang w:bidi="ar-SA"/>
              </w:rPr>
            </w:pPr>
            <w:r w:rsidRPr="00F15128">
              <w:rPr>
                <w:sz w:val="20"/>
                <w:szCs w:val="20"/>
                <w:lang w:bidi="ar-SA"/>
              </w:rPr>
              <w:t>(DL &lt; 0.001)</w:t>
            </w:r>
          </w:p>
        </w:tc>
        <w:tc>
          <w:tcPr>
            <w:tcW w:w="783" w:type="pct"/>
            <w:vAlign w:val="center"/>
          </w:tcPr>
          <w:p w14:paraId="226E5BC0" w14:textId="20354FEA" w:rsidR="00613E71" w:rsidRDefault="00613E71" w:rsidP="00613E71">
            <w:pPr>
              <w:widowControl/>
              <w:autoSpaceDE w:val="0"/>
              <w:autoSpaceDN w:val="0"/>
              <w:adjustRightInd w:val="0"/>
              <w:jc w:val="center"/>
              <w:rPr>
                <w:sz w:val="20"/>
                <w:szCs w:val="20"/>
                <w:lang w:bidi="ar-SA"/>
              </w:rPr>
            </w:pPr>
            <w:r w:rsidRPr="00F15128">
              <w:rPr>
                <w:sz w:val="20"/>
                <w:szCs w:val="20"/>
                <w:lang w:bidi="ar-SA"/>
              </w:rPr>
              <w:t>ND</w:t>
            </w:r>
          </w:p>
          <w:p w14:paraId="68E6F870" w14:textId="386C00FA" w:rsidR="00613E71" w:rsidRPr="00EE5EA4" w:rsidRDefault="00613E71" w:rsidP="00613E71">
            <w:pPr>
              <w:widowControl/>
              <w:autoSpaceDE w:val="0"/>
              <w:autoSpaceDN w:val="0"/>
              <w:adjustRightInd w:val="0"/>
              <w:jc w:val="center"/>
              <w:rPr>
                <w:sz w:val="20"/>
                <w:szCs w:val="20"/>
                <w:lang w:bidi="ar-SA"/>
              </w:rPr>
            </w:pPr>
            <w:r w:rsidRPr="00F15128">
              <w:rPr>
                <w:sz w:val="20"/>
                <w:szCs w:val="20"/>
                <w:lang w:bidi="ar-SA"/>
              </w:rPr>
              <w:t>(DL &lt; 0.001)</w:t>
            </w:r>
          </w:p>
        </w:tc>
        <w:tc>
          <w:tcPr>
            <w:tcW w:w="510" w:type="pct"/>
            <w:vAlign w:val="center"/>
          </w:tcPr>
          <w:p w14:paraId="0B94E535" w14:textId="78D6F0F6"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c>
          <w:tcPr>
            <w:tcW w:w="672" w:type="pct"/>
            <w:vAlign w:val="center"/>
          </w:tcPr>
          <w:p w14:paraId="6A29E949" w14:textId="77777777"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c>
          <w:tcPr>
            <w:tcW w:w="535" w:type="pct"/>
            <w:vAlign w:val="center"/>
          </w:tcPr>
          <w:p w14:paraId="64E776D9" w14:textId="176BE23A"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≤1</w:t>
            </w:r>
          </w:p>
        </w:tc>
      </w:tr>
      <w:tr w:rsidR="00613E71" w:rsidRPr="00EE5EA4" w14:paraId="4A91276F" w14:textId="77777777" w:rsidTr="0033375E">
        <w:trPr>
          <w:jc w:val="center"/>
        </w:trPr>
        <w:tc>
          <w:tcPr>
            <w:tcW w:w="872" w:type="pct"/>
            <w:vAlign w:val="center"/>
          </w:tcPr>
          <w:p w14:paraId="61E7452C" w14:textId="5BB56969" w:rsidR="00613E71" w:rsidRPr="00F15128" w:rsidRDefault="00294382" w:rsidP="00613E71">
            <w:pPr>
              <w:widowControl/>
              <w:autoSpaceDE w:val="0"/>
              <w:autoSpaceDN w:val="0"/>
              <w:adjustRightInd w:val="0"/>
              <w:rPr>
                <w:sz w:val="20"/>
                <w:szCs w:val="20"/>
                <w:lang w:bidi="ar-SA"/>
              </w:rPr>
            </w:pPr>
            <w:r>
              <w:rPr>
                <w:sz w:val="20"/>
                <w:szCs w:val="20"/>
                <w:lang w:bidi="ar-SA"/>
              </w:rPr>
              <w:t>Mercury</w:t>
            </w:r>
            <w:r w:rsidRPr="00F15128">
              <w:rPr>
                <w:sz w:val="20"/>
                <w:szCs w:val="20"/>
                <w:lang w:bidi="ar-SA"/>
              </w:rPr>
              <w:t xml:space="preserve"> </w:t>
            </w:r>
            <w:r w:rsidR="00613E71" w:rsidRPr="00F15128">
              <w:rPr>
                <w:sz w:val="20"/>
                <w:szCs w:val="20"/>
                <w:lang w:bidi="ar-SA"/>
              </w:rPr>
              <w:t>(mg/kg)</w:t>
            </w:r>
          </w:p>
        </w:tc>
        <w:tc>
          <w:tcPr>
            <w:tcW w:w="831" w:type="pct"/>
            <w:vAlign w:val="center"/>
          </w:tcPr>
          <w:p w14:paraId="6D19147A" w14:textId="543E94E9" w:rsidR="00613E71" w:rsidRDefault="00613E71" w:rsidP="00613E71">
            <w:pPr>
              <w:widowControl/>
              <w:autoSpaceDE w:val="0"/>
              <w:autoSpaceDN w:val="0"/>
              <w:adjustRightInd w:val="0"/>
              <w:jc w:val="center"/>
              <w:rPr>
                <w:sz w:val="20"/>
                <w:szCs w:val="20"/>
                <w:lang w:bidi="ar-SA"/>
              </w:rPr>
            </w:pPr>
            <w:r w:rsidRPr="00F15128">
              <w:rPr>
                <w:sz w:val="20"/>
                <w:szCs w:val="20"/>
                <w:lang w:bidi="ar-SA"/>
              </w:rPr>
              <w:t>ND</w:t>
            </w:r>
          </w:p>
          <w:p w14:paraId="00559CAE" w14:textId="5E43E0EF" w:rsidR="00613E71" w:rsidRPr="00F15128" w:rsidRDefault="00613E71" w:rsidP="00613E71">
            <w:pPr>
              <w:widowControl/>
              <w:autoSpaceDE w:val="0"/>
              <w:autoSpaceDN w:val="0"/>
              <w:adjustRightInd w:val="0"/>
              <w:jc w:val="center"/>
              <w:rPr>
                <w:sz w:val="20"/>
                <w:szCs w:val="20"/>
                <w:lang w:bidi="ar-SA"/>
              </w:rPr>
            </w:pPr>
            <w:r w:rsidRPr="00F15128">
              <w:rPr>
                <w:sz w:val="20"/>
                <w:szCs w:val="20"/>
                <w:lang w:bidi="ar-SA"/>
              </w:rPr>
              <w:t>(DL &lt; 0.005)</w:t>
            </w:r>
          </w:p>
        </w:tc>
        <w:tc>
          <w:tcPr>
            <w:tcW w:w="798" w:type="pct"/>
            <w:vAlign w:val="center"/>
          </w:tcPr>
          <w:p w14:paraId="50EBEAAE" w14:textId="7FE38D46" w:rsidR="00613E71" w:rsidRDefault="00613E71" w:rsidP="00613E71">
            <w:pPr>
              <w:widowControl/>
              <w:autoSpaceDE w:val="0"/>
              <w:autoSpaceDN w:val="0"/>
              <w:adjustRightInd w:val="0"/>
              <w:jc w:val="center"/>
              <w:rPr>
                <w:sz w:val="20"/>
                <w:szCs w:val="20"/>
                <w:lang w:bidi="ar-SA"/>
              </w:rPr>
            </w:pPr>
            <w:r w:rsidRPr="00F15128">
              <w:rPr>
                <w:sz w:val="20"/>
                <w:szCs w:val="20"/>
                <w:lang w:bidi="ar-SA"/>
              </w:rPr>
              <w:t>ND</w:t>
            </w:r>
          </w:p>
          <w:p w14:paraId="3C967607" w14:textId="650D791B" w:rsidR="00613E71" w:rsidRPr="00EE5EA4" w:rsidRDefault="00613E71" w:rsidP="00613E71">
            <w:pPr>
              <w:widowControl/>
              <w:autoSpaceDE w:val="0"/>
              <w:autoSpaceDN w:val="0"/>
              <w:adjustRightInd w:val="0"/>
              <w:jc w:val="center"/>
              <w:rPr>
                <w:sz w:val="20"/>
                <w:szCs w:val="20"/>
                <w:lang w:bidi="ar-SA"/>
              </w:rPr>
            </w:pPr>
            <w:r w:rsidRPr="00F15128">
              <w:rPr>
                <w:sz w:val="20"/>
                <w:szCs w:val="20"/>
                <w:lang w:bidi="ar-SA"/>
              </w:rPr>
              <w:t>(DL &lt; 0.005)</w:t>
            </w:r>
          </w:p>
        </w:tc>
        <w:tc>
          <w:tcPr>
            <w:tcW w:w="783" w:type="pct"/>
            <w:vAlign w:val="center"/>
          </w:tcPr>
          <w:p w14:paraId="51E46250" w14:textId="57AFC671" w:rsidR="00613E71" w:rsidRDefault="00613E71" w:rsidP="00613E71">
            <w:pPr>
              <w:widowControl/>
              <w:autoSpaceDE w:val="0"/>
              <w:autoSpaceDN w:val="0"/>
              <w:adjustRightInd w:val="0"/>
              <w:jc w:val="center"/>
              <w:rPr>
                <w:sz w:val="20"/>
                <w:szCs w:val="20"/>
                <w:lang w:bidi="ar-SA"/>
              </w:rPr>
            </w:pPr>
            <w:r w:rsidRPr="00F15128">
              <w:rPr>
                <w:sz w:val="20"/>
                <w:szCs w:val="20"/>
                <w:lang w:bidi="ar-SA"/>
              </w:rPr>
              <w:t>ND</w:t>
            </w:r>
          </w:p>
          <w:p w14:paraId="1CCB330B" w14:textId="01EF3C2E" w:rsidR="00613E71" w:rsidRPr="00EE5EA4" w:rsidRDefault="00613E71" w:rsidP="00613E71">
            <w:pPr>
              <w:widowControl/>
              <w:autoSpaceDE w:val="0"/>
              <w:autoSpaceDN w:val="0"/>
              <w:adjustRightInd w:val="0"/>
              <w:jc w:val="center"/>
              <w:rPr>
                <w:sz w:val="20"/>
                <w:szCs w:val="20"/>
                <w:lang w:bidi="ar-SA"/>
              </w:rPr>
            </w:pPr>
            <w:r w:rsidRPr="00F15128">
              <w:rPr>
                <w:sz w:val="20"/>
                <w:szCs w:val="20"/>
                <w:lang w:bidi="ar-SA"/>
              </w:rPr>
              <w:t>(DL &lt; 0.005)</w:t>
            </w:r>
          </w:p>
        </w:tc>
        <w:tc>
          <w:tcPr>
            <w:tcW w:w="510" w:type="pct"/>
            <w:vAlign w:val="center"/>
          </w:tcPr>
          <w:p w14:paraId="6F685DB4" w14:textId="38D6A02A"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c>
          <w:tcPr>
            <w:tcW w:w="672" w:type="pct"/>
            <w:vAlign w:val="center"/>
          </w:tcPr>
          <w:p w14:paraId="11DFBFD3" w14:textId="77777777"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c>
          <w:tcPr>
            <w:tcW w:w="535" w:type="pct"/>
            <w:vAlign w:val="center"/>
          </w:tcPr>
          <w:p w14:paraId="4FCEC610" w14:textId="1005BE62"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≤1</w:t>
            </w:r>
          </w:p>
        </w:tc>
      </w:tr>
      <w:tr w:rsidR="00613E71" w:rsidRPr="00EE5EA4" w14:paraId="4D20E0CF" w14:textId="77777777" w:rsidTr="0033375E">
        <w:trPr>
          <w:jc w:val="center"/>
        </w:trPr>
        <w:tc>
          <w:tcPr>
            <w:tcW w:w="872" w:type="pct"/>
            <w:vAlign w:val="center"/>
          </w:tcPr>
          <w:p w14:paraId="3DA29C13" w14:textId="57130723" w:rsidR="00613E71" w:rsidRPr="00EE5EA4" w:rsidRDefault="00613E71" w:rsidP="00613E71">
            <w:pPr>
              <w:widowControl/>
              <w:autoSpaceDE w:val="0"/>
              <w:autoSpaceDN w:val="0"/>
              <w:adjustRightInd w:val="0"/>
              <w:rPr>
                <w:sz w:val="20"/>
                <w:szCs w:val="20"/>
                <w:lang w:bidi="ar-SA"/>
              </w:rPr>
            </w:pPr>
            <w:r w:rsidRPr="00EE5EA4">
              <w:rPr>
                <w:sz w:val="20"/>
                <w:szCs w:val="20"/>
                <w:lang w:bidi="ar-SA"/>
              </w:rPr>
              <w:t>Total coliforms (cfu/g)</w:t>
            </w:r>
          </w:p>
        </w:tc>
        <w:tc>
          <w:tcPr>
            <w:tcW w:w="2411" w:type="pct"/>
            <w:gridSpan w:val="3"/>
            <w:vAlign w:val="center"/>
          </w:tcPr>
          <w:p w14:paraId="354A072E" w14:textId="2A76062D" w:rsidR="00613E71" w:rsidRPr="00EE5EA4" w:rsidRDefault="00613E71" w:rsidP="00613E71">
            <w:pPr>
              <w:widowControl/>
              <w:autoSpaceDE w:val="0"/>
              <w:autoSpaceDN w:val="0"/>
              <w:adjustRightInd w:val="0"/>
              <w:jc w:val="center"/>
              <w:rPr>
                <w:sz w:val="20"/>
                <w:szCs w:val="20"/>
                <w:lang w:bidi="ar-SA"/>
              </w:rPr>
            </w:pPr>
            <w:r>
              <w:rPr>
                <w:sz w:val="20"/>
                <w:szCs w:val="20"/>
                <w:lang w:bidi="ar-SA"/>
              </w:rPr>
              <w:t>&lt; 30</w:t>
            </w:r>
          </w:p>
        </w:tc>
        <w:tc>
          <w:tcPr>
            <w:tcW w:w="510" w:type="pct"/>
            <w:vAlign w:val="center"/>
          </w:tcPr>
          <w:p w14:paraId="19949709" w14:textId="4DD5A314"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≤30</w:t>
            </w:r>
          </w:p>
        </w:tc>
        <w:tc>
          <w:tcPr>
            <w:tcW w:w="672" w:type="pct"/>
            <w:vAlign w:val="center"/>
          </w:tcPr>
          <w:p w14:paraId="7472F168" w14:textId="77777777"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≤30</w:t>
            </w:r>
          </w:p>
        </w:tc>
        <w:tc>
          <w:tcPr>
            <w:tcW w:w="535" w:type="pct"/>
            <w:vAlign w:val="center"/>
          </w:tcPr>
          <w:p w14:paraId="78A42B5F" w14:textId="605279AF"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r>
      <w:tr w:rsidR="00613E71" w:rsidRPr="00EE5EA4" w14:paraId="1F2E7774" w14:textId="77777777" w:rsidTr="0033375E">
        <w:trPr>
          <w:jc w:val="center"/>
        </w:trPr>
        <w:tc>
          <w:tcPr>
            <w:tcW w:w="872" w:type="pct"/>
            <w:vAlign w:val="center"/>
          </w:tcPr>
          <w:p w14:paraId="015D4470" w14:textId="0E8A079B" w:rsidR="00613E71" w:rsidRPr="00EE5EA4" w:rsidRDefault="00613E71" w:rsidP="00613E71">
            <w:pPr>
              <w:widowControl/>
              <w:autoSpaceDE w:val="0"/>
              <w:autoSpaceDN w:val="0"/>
              <w:adjustRightInd w:val="0"/>
              <w:rPr>
                <w:sz w:val="20"/>
                <w:szCs w:val="20"/>
                <w:lang w:bidi="ar-SA"/>
              </w:rPr>
            </w:pPr>
            <w:r w:rsidRPr="00EE5EA4">
              <w:rPr>
                <w:sz w:val="20"/>
                <w:szCs w:val="20"/>
                <w:lang w:bidi="ar-SA"/>
              </w:rPr>
              <w:t>Salmonella (in 25 g)</w:t>
            </w:r>
          </w:p>
        </w:tc>
        <w:tc>
          <w:tcPr>
            <w:tcW w:w="2411" w:type="pct"/>
            <w:gridSpan w:val="3"/>
            <w:vAlign w:val="center"/>
          </w:tcPr>
          <w:p w14:paraId="296AFBDF" w14:textId="0CEC3E4A" w:rsidR="00613E71" w:rsidRPr="00EE5EA4" w:rsidRDefault="00613E71" w:rsidP="00613E71">
            <w:pPr>
              <w:widowControl/>
              <w:autoSpaceDE w:val="0"/>
              <w:autoSpaceDN w:val="0"/>
              <w:adjustRightInd w:val="0"/>
              <w:jc w:val="center"/>
              <w:rPr>
                <w:sz w:val="20"/>
                <w:szCs w:val="20"/>
                <w:lang w:bidi="ar-SA"/>
              </w:rPr>
            </w:pPr>
            <w:r>
              <w:rPr>
                <w:sz w:val="20"/>
                <w:szCs w:val="20"/>
                <w:lang w:bidi="ar-SA"/>
              </w:rPr>
              <w:t>Absent in 25g</w:t>
            </w:r>
          </w:p>
        </w:tc>
        <w:tc>
          <w:tcPr>
            <w:tcW w:w="510" w:type="pct"/>
            <w:vAlign w:val="center"/>
          </w:tcPr>
          <w:p w14:paraId="7DD935DA" w14:textId="54ADC4FD"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Absent</w:t>
            </w:r>
          </w:p>
        </w:tc>
        <w:tc>
          <w:tcPr>
            <w:tcW w:w="672" w:type="pct"/>
            <w:vAlign w:val="center"/>
          </w:tcPr>
          <w:p w14:paraId="10F3E103" w14:textId="77777777"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Negative</w:t>
            </w:r>
          </w:p>
        </w:tc>
        <w:tc>
          <w:tcPr>
            <w:tcW w:w="535" w:type="pct"/>
            <w:vAlign w:val="center"/>
          </w:tcPr>
          <w:p w14:paraId="770BEA75" w14:textId="27840394"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r>
      <w:tr w:rsidR="00613E71" w:rsidRPr="00EE5EA4" w14:paraId="4358ABEE" w14:textId="77777777" w:rsidTr="0033375E">
        <w:trPr>
          <w:jc w:val="center"/>
        </w:trPr>
        <w:tc>
          <w:tcPr>
            <w:tcW w:w="872" w:type="pct"/>
            <w:vAlign w:val="center"/>
          </w:tcPr>
          <w:p w14:paraId="54A954D0" w14:textId="10BFC20C" w:rsidR="00613E71" w:rsidRPr="00EE5EA4" w:rsidRDefault="00613E71" w:rsidP="00613E71">
            <w:pPr>
              <w:widowControl/>
              <w:autoSpaceDE w:val="0"/>
              <w:autoSpaceDN w:val="0"/>
              <w:adjustRightInd w:val="0"/>
              <w:rPr>
                <w:sz w:val="20"/>
                <w:szCs w:val="20"/>
                <w:lang w:bidi="ar-SA"/>
              </w:rPr>
            </w:pPr>
            <w:r w:rsidRPr="00EE5EA4">
              <w:rPr>
                <w:sz w:val="20"/>
                <w:szCs w:val="20"/>
                <w:lang w:bidi="ar-SA"/>
              </w:rPr>
              <w:t xml:space="preserve">Enteropathic </w:t>
            </w:r>
            <w:r w:rsidRPr="00EE5EA4">
              <w:rPr>
                <w:i/>
                <w:sz w:val="20"/>
                <w:szCs w:val="20"/>
                <w:lang w:bidi="ar-SA"/>
              </w:rPr>
              <w:t>E. coli</w:t>
            </w:r>
            <w:r w:rsidRPr="00EE5EA4">
              <w:rPr>
                <w:sz w:val="20"/>
                <w:szCs w:val="20"/>
                <w:lang w:bidi="ar-SA"/>
              </w:rPr>
              <w:t xml:space="preserve"> (in 25 g)</w:t>
            </w:r>
          </w:p>
        </w:tc>
        <w:tc>
          <w:tcPr>
            <w:tcW w:w="2411" w:type="pct"/>
            <w:gridSpan w:val="3"/>
            <w:vAlign w:val="center"/>
          </w:tcPr>
          <w:p w14:paraId="3EE517BE" w14:textId="233FD5B2" w:rsidR="00613E71" w:rsidRPr="00EE5EA4" w:rsidRDefault="00613E71" w:rsidP="00FC2D49">
            <w:pPr>
              <w:widowControl/>
              <w:autoSpaceDE w:val="0"/>
              <w:autoSpaceDN w:val="0"/>
              <w:adjustRightInd w:val="0"/>
              <w:jc w:val="center"/>
              <w:rPr>
                <w:sz w:val="20"/>
                <w:szCs w:val="20"/>
                <w:lang w:bidi="ar-SA"/>
              </w:rPr>
            </w:pPr>
            <w:r>
              <w:rPr>
                <w:sz w:val="20"/>
                <w:szCs w:val="20"/>
                <w:lang w:bidi="ar-SA"/>
              </w:rPr>
              <w:t>Absent in 25g</w:t>
            </w:r>
          </w:p>
        </w:tc>
        <w:tc>
          <w:tcPr>
            <w:tcW w:w="510" w:type="pct"/>
            <w:vAlign w:val="center"/>
          </w:tcPr>
          <w:p w14:paraId="2A92A8CF" w14:textId="24E4DFCC"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Absent</w:t>
            </w:r>
          </w:p>
        </w:tc>
        <w:tc>
          <w:tcPr>
            <w:tcW w:w="672" w:type="pct"/>
            <w:vAlign w:val="center"/>
          </w:tcPr>
          <w:p w14:paraId="5762CA1D" w14:textId="77777777"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c>
          <w:tcPr>
            <w:tcW w:w="535" w:type="pct"/>
            <w:vAlign w:val="center"/>
          </w:tcPr>
          <w:p w14:paraId="03F0AE3A" w14:textId="5C890CE0"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r>
      <w:tr w:rsidR="00613E71" w:rsidRPr="00EE5EA4" w14:paraId="229603E7" w14:textId="77777777" w:rsidTr="0033375E">
        <w:trPr>
          <w:jc w:val="center"/>
        </w:trPr>
        <w:tc>
          <w:tcPr>
            <w:tcW w:w="872" w:type="pct"/>
          </w:tcPr>
          <w:p w14:paraId="3BC8A087" w14:textId="286241F5" w:rsidR="00613E71" w:rsidRPr="00EE5EA4" w:rsidRDefault="00613E71" w:rsidP="00613E71">
            <w:pPr>
              <w:widowControl/>
              <w:autoSpaceDE w:val="0"/>
              <w:autoSpaceDN w:val="0"/>
              <w:adjustRightInd w:val="0"/>
              <w:rPr>
                <w:sz w:val="20"/>
                <w:szCs w:val="20"/>
                <w:lang w:bidi="ar-SA"/>
              </w:rPr>
            </w:pPr>
            <w:r w:rsidRPr="00EE5EA4">
              <w:rPr>
                <w:sz w:val="20"/>
                <w:szCs w:val="20"/>
                <w:lang w:bidi="ar-SA"/>
              </w:rPr>
              <w:lastRenderedPageBreak/>
              <w:t>Anti</w:t>
            </w:r>
            <w:r>
              <w:rPr>
                <w:sz w:val="20"/>
                <w:szCs w:val="20"/>
                <w:lang w:bidi="ar-SA"/>
              </w:rPr>
              <w:t>biotic</w:t>
            </w:r>
            <w:r w:rsidRPr="00EE5EA4">
              <w:rPr>
                <w:sz w:val="20"/>
                <w:szCs w:val="20"/>
                <w:lang w:bidi="ar-SA"/>
              </w:rPr>
              <w:t xml:space="preserve"> activity </w:t>
            </w:r>
          </w:p>
        </w:tc>
        <w:tc>
          <w:tcPr>
            <w:tcW w:w="2411" w:type="pct"/>
            <w:gridSpan w:val="3"/>
          </w:tcPr>
          <w:p w14:paraId="6EAD7167" w14:textId="2CC8C1D3"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ND</w:t>
            </w:r>
          </w:p>
          <w:p w14:paraId="590FF30E" w14:textId="1C3978F0" w:rsidR="00613E71" w:rsidRPr="00EE5EA4" w:rsidRDefault="00613E71" w:rsidP="00613E71">
            <w:pPr>
              <w:widowControl/>
              <w:autoSpaceDE w:val="0"/>
              <w:autoSpaceDN w:val="0"/>
              <w:adjustRightInd w:val="0"/>
              <w:jc w:val="center"/>
              <w:rPr>
                <w:sz w:val="20"/>
                <w:szCs w:val="20"/>
                <w:lang w:bidi="ar-SA"/>
              </w:rPr>
            </w:pPr>
          </w:p>
        </w:tc>
        <w:tc>
          <w:tcPr>
            <w:tcW w:w="510" w:type="pct"/>
          </w:tcPr>
          <w:p w14:paraId="4E324F60" w14:textId="0288E6EE"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Absent</w:t>
            </w:r>
          </w:p>
        </w:tc>
        <w:tc>
          <w:tcPr>
            <w:tcW w:w="672" w:type="pct"/>
          </w:tcPr>
          <w:p w14:paraId="7B1BFC99" w14:textId="77777777"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c>
          <w:tcPr>
            <w:tcW w:w="535" w:type="pct"/>
          </w:tcPr>
          <w:p w14:paraId="7BB67AE8" w14:textId="7C6E23D9" w:rsidR="00613E71" w:rsidRPr="00EE5EA4" w:rsidRDefault="00613E71" w:rsidP="00613E71">
            <w:pPr>
              <w:widowControl/>
              <w:autoSpaceDE w:val="0"/>
              <w:autoSpaceDN w:val="0"/>
              <w:adjustRightInd w:val="0"/>
              <w:jc w:val="center"/>
              <w:rPr>
                <w:sz w:val="20"/>
                <w:szCs w:val="20"/>
                <w:lang w:bidi="ar-SA"/>
              </w:rPr>
            </w:pPr>
            <w:r w:rsidRPr="00EE5EA4">
              <w:rPr>
                <w:sz w:val="20"/>
                <w:szCs w:val="20"/>
                <w:lang w:bidi="ar-SA"/>
              </w:rPr>
              <w:t>-</w:t>
            </w:r>
          </w:p>
        </w:tc>
      </w:tr>
    </w:tbl>
    <w:p w14:paraId="702084DD" w14:textId="77777777" w:rsidR="00691270" w:rsidRPr="00EE5EA4" w:rsidRDefault="00691270" w:rsidP="00691270">
      <w:pPr>
        <w:widowControl/>
        <w:autoSpaceDE w:val="0"/>
        <w:autoSpaceDN w:val="0"/>
        <w:adjustRightInd w:val="0"/>
        <w:rPr>
          <w:rFonts w:eastAsia="Calibri" w:cs="Arial"/>
          <w:szCs w:val="22"/>
          <w:lang w:bidi="ar-SA"/>
        </w:rPr>
      </w:pPr>
      <w:r w:rsidRPr="00EE5EA4">
        <w:rPr>
          <w:rFonts w:eastAsia="Calibri" w:cs="Arial"/>
          <w:szCs w:val="22"/>
          <w:lang w:bidi="ar-SA"/>
        </w:rPr>
        <w:tab/>
      </w:r>
      <w:r w:rsidRPr="00EE5EA4">
        <w:rPr>
          <w:rFonts w:eastAsia="Calibri" w:cs="Arial"/>
          <w:szCs w:val="22"/>
          <w:vertAlign w:val="superscript"/>
          <w:lang w:bidi="ar-SA"/>
        </w:rPr>
        <w:t xml:space="preserve">a </w:t>
      </w:r>
      <w:r w:rsidRPr="00F340A8">
        <w:rPr>
          <w:rFonts w:eastAsia="Calibri" w:cs="Arial"/>
          <w:sz w:val="18"/>
          <w:szCs w:val="18"/>
          <w:lang w:bidi="ar-SA"/>
        </w:rPr>
        <w:t>ND = Not detected</w:t>
      </w:r>
    </w:p>
    <w:p w14:paraId="2A960B39" w14:textId="77777777" w:rsidR="00691270" w:rsidRPr="00EE5EA4" w:rsidRDefault="00691270" w:rsidP="00691270">
      <w:pPr>
        <w:widowControl/>
        <w:autoSpaceDE w:val="0"/>
        <w:autoSpaceDN w:val="0"/>
        <w:adjustRightInd w:val="0"/>
        <w:rPr>
          <w:rFonts w:eastAsia="Calibri" w:cs="Arial"/>
          <w:szCs w:val="22"/>
          <w:lang w:bidi="ar-SA"/>
        </w:rPr>
      </w:pPr>
      <w:r w:rsidRPr="00EE5EA4">
        <w:rPr>
          <w:rFonts w:eastAsia="Calibri" w:cs="Arial"/>
          <w:szCs w:val="22"/>
          <w:lang w:bidi="ar-SA"/>
        </w:rPr>
        <w:tab/>
      </w:r>
      <w:r w:rsidRPr="00EE5EA4">
        <w:rPr>
          <w:rFonts w:eastAsia="Calibri" w:cs="Arial"/>
          <w:szCs w:val="22"/>
          <w:vertAlign w:val="superscript"/>
          <w:lang w:bidi="ar-SA"/>
        </w:rPr>
        <w:t xml:space="preserve">b </w:t>
      </w:r>
      <w:r w:rsidRPr="00F340A8">
        <w:rPr>
          <w:rFonts w:eastAsia="Calibri" w:cs="Arial"/>
          <w:sz w:val="18"/>
          <w:szCs w:val="18"/>
          <w:lang w:bidi="ar-SA"/>
        </w:rPr>
        <w:t>DL = Detection limit</w:t>
      </w:r>
    </w:p>
    <w:p w14:paraId="593943C6" w14:textId="77777777" w:rsidR="00691270" w:rsidRPr="00EE5EA4" w:rsidRDefault="00691270" w:rsidP="00691270">
      <w:pPr>
        <w:widowControl/>
        <w:autoSpaceDE w:val="0"/>
        <w:autoSpaceDN w:val="0"/>
        <w:adjustRightInd w:val="0"/>
        <w:rPr>
          <w:rFonts w:eastAsia="Calibri" w:cs="Arial"/>
          <w:szCs w:val="22"/>
          <w:lang w:bidi="ar-SA"/>
        </w:rPr>
      </w:pPr>
    </w:p>
    <w:p w14:paraId="4925DB47" w14:textId="46ECC8A8" w:rsidR="00691270" w:rsidRDefault="00691270" w:rsidP="00691270">
      <w:pPr>
        <w:rPr>
          <w:rFonts w:eastAsia="Calibri" w:cs="Arial"/>
          <w:szCs w:val="22"/>
          <w:lang w:bidi="ar-SA"/>
        </w:rPr>
      </w:pPr>
      <w:r w:rsidRPr="00EE5EA4">
        <w:rPr>
          <w:rFonts w:eastAsia="Calibri" w:cs="Arial"/>
          <w:szCs w:val="22"/>
          <w:lang w:bidi="ar-SA"/>
        </w:rPr>
        <w:t>Based on the above results, the enzyme preparation meets international and Code specifications for enzymes used in the production of food.</w:t>
      </w:r>
    </w:p>
    <w:p w14:paraId="6B20A596" w14:textId="1B3FC412" w:rsidR="00D95D36" w:rsidRDefault="00D95D36" w:rsidP="00D15645">
      <w:pPr>
        <w:pStyle w:val="Heading3"/>
      </w:pPr>
      <w:bookmarkStart w:id="32" w:name="_Toc533087513"/>
      <w:bookmarkStart w:id="33" w:name="_Toc534297206"/>
      <w:r>
        <w:t>2.2.</w:t>
      </w:r>
      <w:r w:rsidR="00F91605">
        <w:t>3</w:t>
      </w:r>
      <w:r>
        <w:tab/>
      </w:r>
      <w:r w:rsidR="00D15645">
        <w:t>Activity and stability</w:t>
      </w:r>
      <w:bookmarkEnd w:id="32"/>
      <w:bookmarkEnd w:id="33"/>
    </w:p>
    <w:p w14:paraId="618BFE1E" w14:textId="27F5BF9E" w:rsidR="00D15645" w:rsidRDefault="00D15645" w:rsidP="005550F4">
      <w:pPr>
        <w:rPr>
          <w:lang w:eastAsia="en-AU" w:bidi="ar-SA"/>
        </w:rPr>
      </w:pPr>
      <w:r>
        <w:rPr>
          <w:lang w:eastAsia="en-AU" w:bidi="ar-SA"/>
        </w:rPr>
        <w:t xml:space="preserve">Thermally, activity </w:t>
      </w:r>
      <w:r w:rsidR="001E1E9F">
        <w:rPr>
          <w:lang w:eastAsia="en-AU" w:bidi="ar-SA"/>
        </w:rPr>
        <w:t xml:space="preserve">of </w:t>
      </w:r>
      <w:r w:rsidR="005550F4">
        <w:rPr>
          <w:lang w:eastAsia="en-AU" w:bidi="ar-SA"/>
        </w:rPr>
        <w:t>AFP</w:t>
      </w:r>
      <w:r w:rsidR="001E1E9F">
        <w:rPr>
          <w:lang w:eastAsia="en-AU" w:bidi="ar-SA"/>
        </w:rPr>
        <w:t xml:space="preserve"> </w:t>
      </w:r>
      <w:r>
        <w:rPr>
          <w:lang w:eastAsia="en-AU" w:bidi="ar-SA"/>
        </w:rPr>
        <w:t xml:space="preserve">rapidly decreases </w:t>
      </w:r>
      <w:r w:rsidR="00C37228">
        <w:rPr>
          <w:lang w:eastAsia="en-AU" w:bidi="ar-SA"/>
        </w:rPr>
        <w:t xml:space="preserve">at </w:t>
      </w:r>
      <w:r>
        <w:rPr>
          <w:lang w:eastAsia="en-AU" w:bidi="ar-SA"/>
        </w:rPr>
        <w:t xml:space="preserve">temperatures above 55 °C. </w:t>
      </w:r>
      <w:r w:rsidR="005550F4">
        <w:rPr>
          <w:lang w:eastAsia="en-AU" w:bidi="ar-SA"/>
        </w:rPr>
        <w:t>It</w:t>
      </w:r>
      <w:r>
        <w:rPr>
          <w:lang w:eastAsia="en-AU" w:bidi="ar-SA"/>
        </w:rPr>
        <w:t xml:space="preserve"> is completely </w:t>
      </w:r>
      <w:r w:rsidR="00C37228">
        <w:rPr>
          <w:lang w:eastAsia="en-AU" w:bidi="ar-SA"/>
        </w:rPr>
        <w:t xml:space="preserve">inactivated </w:t>
      </w:r>
      <w:r>
        <w:rPr>
          <w:lang w:eastAsia="en-AU" w:bidi="ar-SA"/>
        </w:rPr>
        <w:t>after incubating at 70°C for 15 minutes</w:t>
      </w:r>
      <w:r w:rsidR="00294382">
        <w:rPr>
          <w:lang w:eastAsia="en-AU" w:bidi="ar-SA"/>
        </w:rPr>
        <w:t xml:space="preserve"> (Figure 4)</w:t>
      </w:r>
      <w:r>
        <w:rPr>
          <w:lang w:eastAsia="en-AU" w:bidi="ar-SA"/>
        </w:rPr>
        <w:t xml:space="preserve">. </w:t>
      </w:r>
    </w:p>
    <w:p w14:paraId="16101FF4" w14:textId="77777777" w:rsidR="001E1E9F" w:rsidRDefault="001E1E9F" w:rsidP="00D15645">
      <w:pPr>
        <w:rPr>
          <w:lang w:eastAsia="en-AU" w:bidi="ar-SA"/>
        </w:rPr>
      </w:pPr>
    </w:p>
    <w:p w14:paraId="30CCC844" w14:textId="2EF29B13" w:rsidR="001E1E9F" w:rsidRDefault="001E1E9F" w:rsidP="00D15645">
      <w:pPr>
        <w:rPr>
          <w:lang w:eastAsia="en-AU" w:bidi="ar-SA"/>
        </w:rPr>
      </w:pPr>
    </w:p>
    <w:p w14:paraId="6EBBEB7E" w14:textId="66BB7980" w:rsidR="001E1E9F" w:rsidRDefault="001E1E9F" w:rsidP="001E1E9F">
      <w:pPr>
        <w:jc w:val="center"/>
        <w:rPr>
          <w:lang w:eastAsia="en-AU" w:bidi="ar-SA"/>
        </w:rPr>
      </w:pPr>
      <w:r>
        <w:rPr>
          <w:noProof/>
          <w:lang w:eastAsia="en-GB" w:bidi="ar-SA"/>
        </w:rPr>
        <w:drawing>
          <wp:inline distT="0" distB="0" distL="0" distR="0" wp14:anchorId="413123EE" wp14:editId="4FF754C7">
            <wp:extent cx="4445186" cy="351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50375" cy="3515649"/>
                    </a:xfrm>
                    <a:prstGeom prst="rect">
                      <a:avLst/>
                    </a:prstGeom>
                  </pic:spPr>
                </pic:pic>
              </a:graphicData>
            </a:graphic>
          </wp:inline>
        </w:drawing>
      </w:r>
    </w:p>
    <w:p w14:paraId="12CA4E16" w14:textId="3FBB1339" w:rsidR="001E1E9F" w:rsidRDefault="001E1E9F" w:rsidP="00D15645">
      <w:pPr>
        <w:rPr>
          <w:lang w:eastAsia="en-AU" w:bidi="ar-SA"/>
        </w:rPr>
      </w:pPr>
    </w:p>
    <w:p w14:paraId="4A8D66A8" w14:textId="17AB510E" w:rsidR="001E1E9F" w:rsidRPr="001E1E9F" w:rsidRDefault="001E1E9F" w:rsidP="008B6B30">
      <w:pPr>
        <w:rPr>
          <w:i/>
          <w:lang w:eastAsia="en-AU" w:bidi="ar-SA"/>
        </w:rPr>
      </w:pPr>
      <w:r w:rsidRPr="001E1E9F">
        <w:rPr>
          <w:b/>
          <w:i/>
          <w:lang w:eastAsia="en-AU" w:bidi="ar-SA"/>
        </w:rPr>
        <w:t xml:space="preserve">Figure </w:t>
      </w:r>
      <w:r w:rsidR="00294382">
        <w:rPr>
          <w:b/>
          <w:i/>
          <w:lang w:eastAsia="en-AU" w:bidi="ar-SA"/>
        </w:rPr>
        <w:t>4</w:t>
      </w:r>
      <w:r w:rsidR="009871FD">
        <w:rPr>
          <w:i/>
          <w:lang w:eastAsia="en-AU" w:bidi="ar-SA"/>
        </w:rPr>
        <w:tab/>
      </w:r>
      <w:r w:rsidRPr="001E1E9F">
        <w:rPr>
          <w:i/>
          <w:lang w:eastAsia="en-AU" w:bidi="ar-SA"/>
        </w:rPr>
        <w:t>Thermal stability of AFP</w:t>
      </w:r>
    </w:p>
    <w:p w14:paraId="77A141B7" w14:textId="77777777" w:rsidR="001E1E9F" w:rsidRDefault="001E1E9F" w:rsidP="001E1E9F">
      <w:pPr>
        <w:rPr>
          <w:lang w:eastAsia="en-AU" w:bidi="ar-SA"/>
        </w:rPr>
      </w:pPr>
    </w:p>
    <w:p w14:paraId="5E83945B" w14:textId="77777777" w:rsidR="00A21931" w:rsidRDefault="00A21931">
      <w:pPr>
        <w:widowControl/>
        <w:rPr>
          <w:lang w:eastAsia="en-AU" w:bidi="ar-SA"/>
        </w:rPr>
      </w:pPr>
      <w:r>
        <w:rPr>
          <w:lang w:eastAsia="en-AU" w:bidi="ar-SA"/>
        </w:rPr>
        <w:br w:type="page"/>
      </w:r>
    </w:p>
    <w:p w14:paraId="06DD4ED9" w14:textId="4D736201" w:rsidR="001E1E9F" w:rsidRDefault="005550F4" w:rsidP="001E1E9F">
      <w:pPr>
        <w:rPr>
          <w:lang w:eastAsia="en-AU" w:bidi="ar-SA"/>
        </w:rPr>
      </w:pPr>
      <w:r w:rsidRPr="005550F4">
        <w:rPr>
          <w:lang w:eastAsia="en-AU" w:bidi="ar-SA"/>
        </w:rPr>
        <w:lastRenderedPageBreak/>
        <w:t>AFP is an acid proteolytic enzyme characterised by its ability to hydrolyse proteins under low pH conditions.</w:t>
      </w:r>
      <w:r>
        <w:rPr>
          <w:lang w:eastAsia="en-AU" w:bidi="ar-SA"/>
        </w:rPr>
        <w:t xml:space="preserve"> It </w:t>
      </w:r>
      <w:r w:rsidR="001E1E9F">
        <w:rPr>
          <w:lang w:eastAsia="en-AU" w:bidi="ar-SA"/>
        </w:rPr>
        <w:t>is relatively stable in the pH range 3</w:t>
      </w:r>
      <w:r>
        <w:rPr>
          <w:lang w:eastAsia="en-AU" w:bidi="ar-SA"/>
        </w:rPr>
        <w:t xml:space="preserve"> </w:t>
      </w:r>
      <w:r w:rsidR="001E1E9F">
        <w:rPr>
          <w:lang w:eastAsia="en-AU" w:bidi="ar-SA"/>
        </w:rPr>
        <w:t>-</w:t>
      </w:r>
      <w:r>
        <w:rPr>
          <w:lang w:eastAsia="en-AU" w:bidi="ar-SA"/>
        </w:rPr>
        <w:t xml:space="preserve"> </w:t>
      </w:r>
      <w:r w:rsidR="001E1E9F">
        <w:rPr>
          <w:lang w:eastAsia="en-AU" w:bidi="ar-SA"/>
        </w:rPr>
        <w:t>5.8. Optimal stability is seen at the pH interval 3.2 to 4.8</w:t>
      </w:r>
      <w:r w:rsidR="00294382">
        <w:rPr>
          <w:lang w:eastAsia="en-AU" w:bidi="ar-SA"/>
        </w:rPr>
        <w:t xml:space="preserve"> (Figure 5)</w:t>
      </w:r>
      <w:r w:rsidR="001E1E9F">
        <w:rPr>
          <w:lang w:eastAsia="en-AU" w:bidi="ar-SA"/>
        </w:rPr>
        <w:t>.</w:t>
      </w:r>
    </w:p>
    <w:p w14:paraId="324930DD" w14:textId="79D6D42C" w:rsidR="001E1E9F" w:rsidRDefault="001E1E9F" w:rsidP="001E1E9F">
      <w:pPr>
        <w:rPr>
          <w:lang w:eastAsia="en-AU" w:bidi="ar-SA"/>
        </w:rPr>
      </w:pPr>
    </w:p>
    <w:p w14:paraId="4196A554" w14:textId="77777777" w:rsidR="001E1E9F" w:rsidRDefault="001E1E9F" w:rsidP="001E1E9F">
      <w:pPr>
        <w:rPr>
          <w:lang w:eastAsia="en-AU" w:bidi="ar-SA"/>
        </w:rPr>
      </w:pPr>
    </w:p>
    <w:p w14:paraId="2877A5EF" w14:textId="783DB381" w:rsidR="001E1E9F" w:rsidRDefault="001E1E9F" w:rsidP="001E1E9F">
      <w:pPr>
        <w:rPr>
          <w:lang w:eastAsia="en-AU" w:bidi="ar-SA"/>
        </w:rPr>
      </w:pPr>
    </w:p>
    <w:p w14:paraId="721C5612" w14:textId="03738A69" w:rsidR="001E1E9F" w:rsidRDefault="001E1E9F" w:rsidP="001E1E9F">
      <w:pPr>
        <w:jc w:val="center"/>
        <w:rPr>
          <w:lang w:eastAsia="en-AU" w:bidi="ar-SA"/>
        </w:rPr>
      </w:pPr>
      <w:r>
        <w:rPr>
          <w:noProof/>
          <w:lang w:eastAsia="en-GB" w:bidi="ar-SA"/>
        </w:rPr>
        <w:drawing>
          <wp:inline distT="0" distB="0" distL="0" distR="0" wp14:anchorId="18247140" wp14:editId="3F043F80">
            <wp:extent cx="5029200" cy="366959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34894" cy="3673752"/>
                    </a:xfrm>
                    <a:prstGeom prst="rect">
                      <a:avLst/>
                    </a:prstGeom>
                  </pic:spPr>
                </pic:pic>
              </a:graphicData>
            </a:graphic>
          </wp:inline>
        </w:drawing>
      </w:r>
    </w:p>
    <w:p w14:paraId="02917F1E" w14:textId="657E0742" w:rsidR="001E1E9F" w:rsidRDefault="001E1E9F" w:rsidP="008B6B30">
      <w:pPr>
        <w:rPr>
          <w:i/>
          <w:lang w:eastAsia="en-AU" w:bidi="ar-SA"/>
        </w:rPr>
      </w:pPr>
      <w:r>
        <w:rPr>
          <w:b/>
          <w:i/>
          <w:lang w:eastAsia="en-AU" w:bidi="ar-SA"/>
        </w:rPr>
        <w:t xml:space="preserve">Figure </w:t>
      </w:r>
      <w:r w:rsidR="00294382">
        <w:rPr>
          <w:b/>
          <w:i/>
          <w:lang w:eastAsia="en-AU" w:bidi="ar-SA"/>
        </w:rPr>
        <w:t>5</w:t>
      </w:r>
      <w:r w:rsidR="00E17B80">
        <w:rPr>
          <w:i/>
          <w:lang w:eastAsia="en-AU" w:bidi="ar-SA"/>
        </w:rPr>
        <w:tab/>
      </w:r>
      <w:r w:rsidRPr="001E1E9F">
        <w:rPr>
          <w:i/>
          <w:lang w:eastAsia="en-AU" w:bidi="ar-SA"/>
        </w:rPr>
        <w:t>Effect of pH on AFP activity</w:t>
      </w:r>
    </w:p>
    <w:p w14:paraId="6CE7109E" w14:textId="6EC0DFBC" w:rsidR="001E1E9F" w:rsidRDefault="001E1E9F" w:rsidP="001E1E9F">
      <w:pPr>
        <w:jc w:val="center"/>
        <w:rPr>
          <w:i/>
          <w:lang w:eastAsia="en-AU" w:bidi="ar-SA"/>
        </w:rPr>
      </w:pPr>
    </w:p>
    <w:p w14:paraId="501CE121" w14:textId="78C16A56" w:rsidR="001E1E9F" w:rsidRDefault="001E1E9F" w:rsidP="001E1E9F">
      <w:pPr>
        <w:rPr>
          <w:lang w:eastAsia="en-AU" w:bidi="ar-SA"/>
        </w:rPr>
      </w:pPr>
      <w:r w:rsidRPr="001E1E9F">
        <w:rPr>
          <w:lang w:eastAsia="en-AU" w:bidi="ar-SA"/>
        </w:rPr>
        <w:t xml:space="preserve">At 4°C </w:t>
      </w:r>
      <w:r w:rsidR="005550F4">
        <w:rPr>
          <w:lang w:eastAsia="en-AU" w:bidi="ar-SA"/>
        </w:rPr>
        <w:t xml:space="preserve">AFP </w:t>
      </w:r>
      <w:r w:rsidRPr="001E1E9F">
        <w:rPr>
          <w:lang w:eastAsia="en-AU" w:bidi="ar-SA"/>
        </w:rPr>
        <w:t>is stable for more than 2 years without significant loss of activity.</w:t>
      </w:r>
      <w:r w:rsidR="005735D5">
        <w:rPr>
          <w:lang w:eastAsia="en-AU" w:bidi="ar-SA"/>
        </w:rPr>
        <w:t xml:space="preserve"> </w:t>
      </w:r>
    </w:p>
    <w:p w14:paraId="7855AD6F" w14:textId="3AA82EEC" w:rsidR="001E6A7B" w:rsidRDefault="001E6A7B" w:rsidP="00BD59CB">
      <w:pPr>
        <w:pStyle w:val="Heading2"/>
      </w:pPr>
      <w:bookmarkStart w:id="34" w:name="_Toc472327053"/>
      <w:bookmarkStart w:id="35" w:name="_Toc501699827"/>
      <w:bookmarkStart w:id="36" w:name="_Toc533087514"/>
      <w:bookmarkStart w:id="37" w:name="_Toc534297207"/>
      <w:r>
        <w:t>2.3</w:t>
      </w:r>
      <w:r>
        <w:tab/>
        <w:t>Food technology conclusion</w:t>
      </w:r>
      <w:bookmarkEnd w:id="34"/>
      <w:bookmarkEnd w:id="35"/>
      <w:bookmarkEnd w:id="36"/>
      <w:bookmarkEnd w:id="37"/>
    </w:p>
    <w:p w14:paraId="7CF8B617" w14:textId="57B3F343" w:rsidR="00D15645" w:rsidRPr="00A006DD" w:rsidRDefault="00691270" w:rsidP="00A006DD">
      <w:r w:rsidRPr="00222AFC">
        <w:t>FSANZ concludes that the stated purpose of this enzyme preparation</w:t>
      </w:r>
      <w:r w:rsidR="0063057C">
        <w:t>,</w:t>
      </w:r>
      <w:r w:rsidRPr="00222AFC">
        <w:t xml:space="preserve"> namely for use as a processing aid in the manufacture</w:t>
      </w:r>
      <w:r>
        <w:t xml:space="preserve"> and processing</w:t>
      </w:r>
      <w:r w:rsidRPr="00222AFC">
        <w:t xml:space="preserve"> of </w:t>
      </w:r>
      <w:r w:rsidR="00595AE8">
        <w:t>potable alcohol and protein products</w:t>
      </w:r>
      <w:r w:rsidRPr="00222AFC">
        <w:t xml:space="preserve"> is clearly articulated in the </w:t>
      </w:r>
      <w:r>
        <w:t>a</w:t>
      </w:r>
      <w:r w:rsidRPr="00222AFC">
        <w:t xml:space="preserve">pplication. The evidence presented to support the proposed uses provides adequate assurance that </w:t>
      </w:r>
      <w:r w:rsidR="005550F4">
        <w:t>AFP</w:t>
      </w:r>
      <w:r w:rsidRPr="00222AFC">
        <w:t xml:space="preserve">, in the form and prescribed amounts, is technologically justified and has been demonstrated to be effective in achieving its stated purpose. </w:t>
      </w:r>
      <w:r w:rsidR="005550F4">
        <w:t xml:space="preserve">AFP </w:t>
      </w:r>
      <w:r w:rsidRPr="00222AFC">
        <w:t>performs its technological purpose during pro</w:t>
      </w:r>
      <w:r>
        <w:t>duction</w:t>
      </w:r>
      <w:r w:rsidRPr="00222AFC">
        <w:t xml:space="preserve"> and manufacture of food</w:t>
      </w:r>
      <w:r>
        <w:t>s</w:t>
      </w:r>
      <w:r w:rsidRPr="00222AFC">
        <w:t xml:space="preserve"> after which it is inactivated </w:t>
      </w:r>
      <w:r>
        <w:t>thereby</w:t>
      </w:r>
      <w:r w:rsidRPr="00222AFC">
        <w:t xml:space="preserve"> not perform</w:t>
      </w:r>
      <w:r>
        <w:t>ing</w:t>
      </w:r>
      <w:r w:rsidRPr="00222AFC">
        <w:t xml:space="preserve"> a technological function in the final food. It is therefore appropriately categorised as a processing aid. </w:t>
      </w:r>
      <w:r w:rsidR="005550F4">
        <w:t>AFP</w:t>
      </w:r>
      <w:r w:rsidRPr="00222AFC">
        <w:t xml:space="preserve"> meets international purity specifications.</w:t>
      </w:r>
      <w:bookmarkStart w:id="38" w:name="_Toc505255637"/>
      <w:r w:rsidR="00D15645">
        <w:br w:type="page"/>
      </w:r>
    </w:p>
    <w:p w14:paraId="5B2C9CE0" w14:textId="7A8C8C8B" w:rsidR="00CA3849" w:rsidRPr="001E6A7B" w:rsidRDefault="00CA3849" w:rsidP="00BD59CB">
      <w:pPr>
        <w:pStyle w:val="Heading1"/>
        <w:ind w:left="567" w:hanging="567"/>
      </w:pPr>
      <w:bookmarkStart w:id="39" w:name="_Toc533087515"/>
      <w:bookmarkStart w:id="40" w:name="_Toc534297208"/>
      <w:r w:rsidRPr="001E6A7B">
        <w:lastRenderedPageBreak/>
        <w:t>3</w:t>
      </w:r>
      <w:r w:rsidR="00BD59CB">
        <w:tab/>
      </w:r>
      <w:r w:rsidRPr="001E6A7B">
        <w:t>Safety assessment</w:t>
      </w:r>
      <w:bookmarkStart w:id="41" w:name="_Toc471740081"/>
      <w:bookmarkStart w:id="42" w:name="_Toc499282437"/>
      <w:bookmarkEnd w:id="38"/>
      <w:bookmarkEnd w:id="39"/>
      <w:bookmarkEnd w:id="40"/>
    </w:p>
    <w:p w14:paraId="598B1BDC" w14:textId="46E19C41" w:rsidR="00CA3849" w:rsidRPr="00C10A69" w:rsidRDefault="00CA3849" w:rsidP="00BD59CB">
      <w:pPr>
        <w:pStyle w:val="Heading2"/>
      </w:pPr>
      <w:bookmarkStart w:id="43" w:name="_Toc505255638"/>
      <w:bookmarkStart w:id="44" w:name="_Toc533087516"/>
      <w:bookmarkStart w:id="45" w:name="_Toc534297209"/>
      <w:r w:rsidRPr="00C10A69">
        <w:t>3.1</w:t>
      </w:r>
      <w:r w:rsidR="001E6A7B" w:rsidRPr="00C10A69">
        <w:tab/>
      </w:r>
      <w:r w:rsidRPr="00C10A69">
        <w:t>Objective for safety assessment</w:t>
      </w:r>
      <w:bookmarkEnd w:id="43"/>
      <w:bookmarkEnd w:id="44"/>
      <w:bookmarkEnd w:id="45"/>
      <w:r w:rsidRPr="00C10A69">
        <w:t xml:space="preserve"> </w:t>
      </w:r>
    </w:p>
    <w:p w14:paraId="486E7A5F" w14:textId="204A649D" w:rsidR="00CF1E6E" w:rsidRPr="00C10A69" w:rsidRDefault="00CF1E6E" w:rsidP="00C10A69">
      <w:r w:rsidRPr="00C10A69">
        <w:rPr>
          <w:lang w:eastAsia="en-AU" w:bidi="ar-SA"/>
        </w:rPr>
        <w:t xml:space="preserve">The objective of this safety assessment for </w:t>
      </w:r>
      <w:r w:rsidR="00C10A69" w:rsidRPr="00C10A69">
        <w:rPr>
          <w:rFonts w:cs="Arial"/>
        </w:rPr>
        <w:t>Aspergillopepsin I</w:t>
      </w:r>
      <w:r w:rsidRPr="00C10A69">
        <w:rPr>
          <w:rFonts w:cs="Arial"/>
        </w:rPr>
        <w:t xml:space="preserve"> </w:t>
      </w:r>
      <w:r w:rsidR="00C10A69">
        <w:rPr>
          <w:rFonts w:cs="Arial"/>
        </w:rPr>
        <w:t>is</w:t>
      </w:r>
      <w:r w:rsidRPr="00C10A69">
        <w:rPr>
          <w:lang w:eastAsia="en-AU" w:bidi="ar-SA"/>
        </w:rPr>
        <w:t xml:space="preserve"> to </w:t>
      </w:r>
      <w:r w:rsidRPr="00C10A69">
        <w:t>evaluate any potential public health and safety concerns that may arise from the use of this enzyme</w:t>
      </w:r>
      <w:r w:rsidRPr="00C10A69">
        <w:rPr>
          <w:lang w:eastAsia="en-AU"/>
        </w:rPr>
        <w:t xml:space="preserve">, produced by a genetically modified organism, </w:t>
      </w:r>
      <w:r w:rsidRPr="00C10A69">
        <w:t xml:space="preserve">as a processing aid. </w:t>
      </w:r>
      <w:r w:rsidR="00C10A69" w:rsidRPr="00C10A69">
        <w:t>C</w:t>
      </w:r>
      <w:r w:rsidRPr="00C10A69">
        <w:t>onsider</w:t>
      </w:r>
      <w:r w:rsidR="00C10A69" w:rsidRPr="00C10A69">
        <w:t xml:space="preserve">ation is given to the </w:t>
      </w:r>
      <w:r w:rsidRPr="00C10A69">
        <w:t>history of use of the host and gene donor organisms,</w:t>
      </w:r>
      <w:r w:rsidR="00C10A69" w:rsidRPr="00C10A69">
        <w:t xml:space="preserve"> </w:t>
      </w:r>
      <w:r w:rsidRPr="00C10A69">
        <w:t>characterisation of the genetic modification(s), and</w:t>
      </w:r>
      <w:r w:rsidR="00C10A69" w:rsidRPr="00C10A69">
        <w:t xml:space="preserve"> </w:t>
      </w:r>
      <w:r w:rsidRPr="00C10A69">
        <w:t>safety of the enzyme.</w:t>
      </w:r>
    </w:p>
    <w:p w14:paraId="3D6D4F4C" w14:textId="2A320A26" w:rsidR="00CA3849" w:rsidRPr="006C2969" w:rsidRDefault="00CA3849" w:rsidP="00BD59CB">
      <w:pPr>
        <w:pStyle w:val="Heading2"/>
      </w:pPr>
      <w:bookmarkStart w:id="46" w:name="_Toc471740085"/>
      <w:bookmarkStart w:id="47" w:name="_Toc499282440"/>
      <w:bookmarkStart w:id="48" w:name="_Toc505255639"/>
      <w:bookmarkStart w:id="49" w:name="_Toc533087517"/>
      <w:bookmarkStart w:id="50" w:name="_Toc534297210"/>
      <w:bookmarkEnd w:id="41"/>
      <w:bookmarkEnd w:id="42"/>
      <w:r w:rsidRPr="006C2969">
        <w:t>3.2</w:t>
      </w:r>
      <w:bookmarkEnd w:id="46"/>
      <w:r w:rsidR="001E6A7B">
        <w:tab/>
      </w:r>
      <w:r w:rsidRPr="006C2969">
        <w:t>History of use</w:t>
      </w:r>
      <w:bookmarkEnd w:id="47"/>
      <w:bookmarkEnd w:id="48"/>
      <w:bookmarkEnd w:id="49"/>
      <w:bookmarkEnd w:id="50"/>
      <w:r w:rsidRPr="006C2969">
        <w:t xml:space="preserve"> </w:t>
      </w:r>
    </w:p>
    <w:p w14:paraId="2587F027" w14:textId="37B61C4E" w:rsidR="00CA3849" w:rsidRDefault="00CA3849" w:rsidP="00D15645">
      <w:pPr>
        <w:pStyle w:val="Heading3"/>
      </w:pPr>
      <w:bookmarkStart w:id="51" w:name="_Toc498940968"/>
      <w:bookmarkStart w:id="52" w:name="_Toc499282441"/>
      <w:bookmarkStart w:id="53" w:name="_Toc533087518"/>
      <w:bookmarkStart w:id="54" w:name="_Toc534297211"/>
      <w:r>
        <w:t>3.2.1</w:t>
      </w:r>
      <w:r w:rsidR="0035149D">
        <w:tab/>
      </w:r>
      <w:r>
        <w:t>Host organism</w:t>
      </w:r>
      <w:bookmarkEnd w:id="51"/>
      <w:bookmarkEnd w:id="52"/>
      <w:bookmarkEnd w:id="53"/>
      <w:bookmarkEnd w:id="54"/>
      <w:r>
        <w:t xml:space="preserve"> </w:t>
      </w:r>
    </w:p>
    <w:p w14:paraId="3F707BDE" w14:textId="4E03F872" w:rsidR="00A226BE" w:rsidRDefault="00A226BE" w:rsidP="00A226BE">
      <w:pPr>
        <w:rPr>
          <w:lang w:eastAsia="en-AU" w:bidi="ar-SA"/>
        </w:rPr>
      </w:pPr>
      <w:r>
        <w:rPr>
          <w:i/>
          <w:lang w:eastAsia="en-AU" w:bidi="ar-SA"/>
        </w:rPr>
        <w:t>T. reesei</w:t>
      </w:r>
      <w:r>
        <w:rPr>
          <w:lang w:eastAsia="en-AU" w:bidi="ar-SA"/>
        </w:rPr>
        <w:t xml:space="preserve"> was first isolated from canvas made from cotton, and the original isolate QM6a is the type strain for </w:t>
      </w:r>
      <w:r>
        <w:rPr>
          <w:i/>
          <w:lang w:eastAsia="en-AU" w:bidi="ar-SA"/>
        </w:rPr>
        <w:t>T. reesei</w:t>
      </w:r>
      <w:r>
        <w:rPr>
          <w:lang w:eastAsia="en-AU" w:bidi="ar-SA"/>
        </w:rPr>
        <w:t xml:space="preserve"> (Olempska-Beer </w:t>
      </w:r>
      <w:r w:rsidRPr="00512606">
        <w:rPr>
          <w:i/>
          <w:lang w:eastAsia="en-AU" w:bidi="ar-SA"/>
        </w:rPr>
        <w:t>et al.,</w:t>
      </w:r>
      <w:r>
        <w:rPr>
          <w:lang w:eastAsia="en-AU" w:bidi="ar-SA"/>
        </w:rPr>
        <w:t xml:space="preserve"> 2006). In humans </w:t>
      </w:r>
      <w:r>
        <w:rPr>
          <w:i/>
          <w:lang w:eastAsia="en-AU" w:bidi="ar-SA"/>
        </w:rPr>
        <w:t>T. reesei</w:t>
      </w:r>
      <w:r w:rsidR="00E348C6">
        <w:rPr>
          <w:i/>
          <w:lang w:eastAsia="en-AU" w:bidi="ar-SA"/>
        </w:rPr>
        <w:t xml:space="preserve"> </w:t>
      </w:r>
      <w:r>
        <w:rPr>
          <w:lang w:eastAsia="en-AU" w:bidi="ar-SA"/>
        </w:rPr>
        <w:t>is not pathogenic. Although some</w:t>
      </w:r>
      <w:r>
        <w:rPr>
          <w:i/>
          <w:lang w:eastAsia="en-AU" w:bidi="ar-SA"/>
        </w:rPr>
        <w:t xml:space="preserve"> T. reesei</w:t>
      </w:r>
      <w:r w:rsidR="00E348C6">
        <w:rPr>
          <w:i/>
          <w:lang w:eastAsia="en-AU" w:bidi="ar-SA"/>
        </w:rPr>
        <w:t xml:space="preserve"> </w:t>
      </w:r>
      <w:r>
        <w:rPr>
          <w:lang w:eastAsia="en-AU" w:bidi="ar-SA"/>
        </w:rPr>
        <w:t xml:space="preserve">strains can produce mycotoxins, most industrial production strains do not produce mycotoxin or antibiotics under conditions used for enzyme production (Nevalainen </w:t>
      </w:r>
      <w:r w:rsidR="00512606" w:rsidRPr="00512606">
        <w:rPr>
          <w:rFonts w:eastAsia="TimesNewRomanPSMT" w:cs="Arial"/>
          <w:i/>
          <w:iCs/>
          <w:szCs w:val="22"/>
          <w:lang w:bidi="ar-SA"/>
        </w:rPr>
        <w:t>et al.</w:t>
      </w:r>
      <w:r w:rsidR="00512606" w:rsidRPr="00512606">
        <w:rPr>
          <w:rFonts w:eastAsia="TimesNewRomanPSMT" w:cs="Arial"/>
          <w:i/>
          <w:szCs w:val="22"/>
          <w:lang w:bidi="ar-SA"/>
        </w:rPr>
        <w:t>,</w:t>
      </w:r>
      <w:r>
        <w:rPr>
          <w:i/>
          <w:lang w:eastAsia="en-AU" w:bidi="ar-SA"/>
        </w:rPr>
        <w:t xml:space="preserve"> </w:t>
      </w:r>
      <w:r>
        <w:rPr>
          <w:lang w:eastAsia="en-AU" w:bidi="ar-SA"/>
        </w:rPr>
        <w:t>1994; Blumenthal 2004).</w:t>
      </w:r>
    </w:p>
    <w:p w14:paraId="594CCCD0" w14:textId="77777777" w:rsidR="00A226BE" w:rsidRDefault="00A226BE" w:rsidP="00A226BE">
      <w:pPr>
        <w:rPr>
          <w:lang w:eastAsia="en-AU" w:bidi="ar-SA"/>
        </w:rPr>
      </w:pPr>
    </w:p>
    <w:p w14:paraId="6068BAAB" w14:textId="0D90F76F" w:rsidR="00BE1FE0" w:rsidRPr="004E5165" w:rsidRDefault="00A226BE" w:rsidP="00BE1FE0">
      <w:pPr>
        <w:rPr>
          <w:rFonts w:cs="Arial"/>
          <w:szCs w:val="22"/>
        </w:rPr>
      </w:pPr>
      <w:r>
        <w:rPr>
          <w:lang w:eastAsia="en-AU" w:bidi="ar-SA"/>
        </w:rPr>
        <w:t xml:space="preserve">FSANZ has previously assessed the safety of </w:t>
      </w:r>
      <w:r>
        <w:rPr>
          <w:i/>
          <w:lang w:eastAsia="en-AU" w:bidi="ar-SA"/>
        </w:rPr>
        <w:t xml:space="preserve">T. reesei </w:t>
      </w:r>
      <w:r>
        <w:rPr>
          <w:lang w:eastAsia="en-AU" w:bidi="ar-SA"/>
        </w:rPr>
        <w:t xml:space="preserve">as the source organism for a number of enzymes used as processing aids. </w:t>
      </w:r>
      <w:r w:rsidRPr="00993E2D">
        <w:rPr>
          <w:rFonts w:cs="Arial"/>
          <w:szCs w:val="22"/>
          <w:lang w:eastAsia="en-AU" w:bidi="ar-SA"/>
        </w:rPr>
        <w:t xml:space="preserve">Schedule 18 to Standard 1.3.3 of the Code permits the use of the following enzymes derived from </w:t>
      </w:r>
      <w:r w:rsidRPr="00993E2D">
        <w:rPr>
          <w:rFonts w:cs="Arial"/>
          <w:i/>
          <w:szCs w:val="22"/>
          <w:lang w:eastAsia="en-AU" w:bidi="ar-SA"/>
        </w:rPr>
        <w:t xml:space="preserve">T. reesei: </w:t>
      </w:r>
      <w:r>
        <w:rPr>
          <w:rFonts w:cs="Arial"/>
          <w:szCs w:val="22"/>
        </w:rPr>
        <w:t>c</w:t>
      </w:r>
      <w:r w:rsidRPr="00993E2D">
        <w:rPr>
          <w:rFonts w:cs="Arial"/>
          <w:szCs w:val="22"/>
        </w:rPr>
        <w:t xml:space="preserve">ellulase, </w:t>
      </w:r>
      <w:r>
        <w:rPr>
          <w:rFonts w:cs="Arial"/>
          <w:szCs w:val="22"/>
        </w:rPr>
        <w:t>e</w:t>
      </w:r>
      <w:r w:rsidRPr="00993E2D">
        <w:rPr>
          <w:rFonts w:cs="Arial"/>
          <w:szCs w:val="22"/>
        </w:rPr>
        <w:t xml:space="preserve">ndo-1,4-beta-xylanase, </w:t>
      </w:r>
      <w:r>
        <w:rPr>
          <w:rFonts w:cs="Arial"/>
          <w:szCs w:val="22"/>
        </w:rPr>
        <w:t>β-g</w:t>
      </w:r>
      <w:r w:rsidRPr="00993E2D">
        <w:rPr>
          <w:rFonts w:cs="Arial"/>
          <w:szCs w:val="22"/>
        </w:rPr>
        <w:t xml:space="preserve">lucanase, </w:t>
      </w:r>
      <w:r>
        <w:rPr>
          <w:rFonts w:cs="Arial"/>
          <w:szCs w:val="22"/>
        </w:rPr>
        <w:t>h</w:t>
      </w:r>
      <w:r w:rsidRPr="00993E2D">
        <w:rPr>
          <w:rFonts w:cs="Arial"/>
          <w:szCs w:val="22"/>
        </w:rPr>
        <w:t>emicellulase multicomponent enzyme</w:t>
      </w:r>
      <w:r>
        <w:rPr>
          <w:rFonts w:cs="Arial"/>
          <w:szCs w:val="22"/>
        </w:rPr>
        <w:t xml:space="preserve"> and polygalacturonase or p</w:t>
      </w:r>
      <w:r w:rsidRPr="00993E2D">
        <w:rPr>
          <w:rFonts w:cs="Arial"/>
          <w:szCs w:val="22"/>
        </w:rPr>
        <w:t>ectinase multicomponent enzyme</w:t>
      </w:r>
      <w:r>
        <w:rPr>
          <w:rFonts w:cs="Arial"/>
          <w:szCs w:val="22"/>
        </w:rPr>
        <w:t>.</w:t>
      </w:r>
    </w:p>
    <w:p w14:paraId="702F4322" w14:textId="6C0542A3" w:rsidR="00CA3849" w:rsidRDefault="00CA3849" w:rsidP="00D15645">
      <w:pPr>
        <w:pStyle w:val="Heading3"/>
      </w:pPr>
      <w:bookmarkStart w:id="55" w:name="_Toc498940969"/>
      <w:bookmarkStart w:id="56" w:name="_Toc499282442"/>
      <w:bookmarkStart w:id="57" w:name="_Toc533087519"/>
      <w:bookmarkStart w:id="58" w:name="_Toc534297212"/>
      <w:r>
        <w:t>3.2.2</w:t>
      </w:r>
      <w:r w:rsidR="0035149D">
        <w:tab/>
      </w:r>
      <w:r>
        <w:t>Gene donor organism(s)</w:t>
      </w:r>
      <w:bookmarkEnd w:id="55"/>
      <w:bookmarkEnd w:id="56"/>
      <w:bookmarkEnd w:id="57"/>
      <w:bookmarkEnd w:id="58"/>
      <w:r>
        <w:t xml:space="preserve"> </w:t>
      </w:r>
    </w:p>
    <w:p w14:paraId="492FD1DC" w14:textId="0206ADC8" w:rsidR="001B2582" w:rsidRDefault="004E5165" w:rsidP="00BE1FE0">
      <w:pPr>
        <w:rPr>
          <w:lang w:bidi="ar-SA"/>
        </w:rPr>
      </w:pPr>
      <w:r>
        <w:rPr>
          <w:lang w:eastAsia="en-AU" w:bidi="ar-SA"/>
        </w:rPr>
        <w:t xml:space="preserve">The gene sequence for </w:t>
      </w:r>
      <w:r w:rsidR="008B6B30">
        <w:rPr>
          <w:lang w:bidi="ar-SA"/>
        </w:rPr>
        <w:t>Aspergillopepsin I</w:t>
      </w:r>
      <w:r w:rsidR="000A2036">
        <w:rPr>
          <w:lang w:bidi="ar-SA"/>
        </w:rPr>
        <w:t xml:space="preserve"> is from </w:t>
      </w:r>
      <w:r w:rsidR="000A2036">
        <w:rPr>
          <w:i/>
          <w:lang w:eastAsia="en-AU" w:bidi="ar-SA"/>
        </w:rPr>
        <w:t xml:space="preserve">T. reesei </w:t>
      </w:r>
      <w:r w:rsidR="000A2036">
        <w:rPr>
          <w:lang w:eastAsia="en-AU" w:bidi="ar-SA"/>
        </w:rPr>
        <w:t xml:space="preserve">(the production strain overexpresses the native </w:t>
      </w:r>
      <w:r w:rsidR="00BF5BBA">
        <w:rPr>
          <w:i/>
          <w:lang w:eastAsia="en-AU" w:bidi="ar-SA"/>
        </w:rPr>
        <w:t>T. rees</w:t>
      </w:r>
      <w:r w:rsidR="000A2036">
        <w:rPr>
          <w:i/>
          <w:lang w:eastAsia="en-AU" w:bidi="ar-SA"/>
        </w:rPr>
        <w:t xml:space="preserve">ei </w:t>
      </w:r>
      <w:r w:rsidR="008B6B30">
        <w:rPr>
          <w:lang w:bidi="ar-SA"/>
        </w:rPr>
        <w:t>Aspergillopepsin I</w:t>
      </w:r>
      <w:r w:rsidR="000A2036">
        <w:rPr>
          <w:lang w:bidi="ar-SA"/>
        </w:rPr>
        <w:t>)</w:t>
      </w:r>
      <w:r w:rsidR="00BE2742">
        <w:rPr>
          <w:lang w:bidi="ar-SA"/>
        </w:rPr>
        <w:t>.</w:t>
      </w:r>
      <w:r w:rsidR="00A84FE5">
        <w:rPr>
          <w:lang w:bidi="ar-SA"/>
        </w:rPr>
        <w:t xml:space="preserve"> As described above, FSANZ has previously assessed </w:t>
      </w:r>
      <w:r w:rsidR="00A84FE5">
        <w:rPr>
          <w:i/>
          <w:lang w:eastAsia="en-AU" w:bidi="ar-SA"/>
        </w:rPr>
        <w:t xml:space="preserve">T. reesei </w:t>
      </w:r>
      <w:r w:rsidR="00A84FE5">
        <w:rPr>
          <w:lang w:eastAsia="en-AU" w:bidi="ar-SA"/>
        </w:rPr>
        <w:t xml:space="preserve">for a number of enzymes used as processing aids. The NCBI Protein BLAST search of the </w:t>
      </w:r>
      <w:r w:rsidR="008B6B30">
        <w:rPr>
          <w:lang w:bidi="ar-SA"/>
        </w:rPr>
        <w:t>Aspergillopepsin I</w:t>
      </w:r>
      <w:r w:rsidR="00A84FE5">
        <w:rPr>
          <w:lang w:bidi="ar-SA"/>
        </w:rPr>
        <w:t xml:space="preserve"> gene sequence returned</w:t>
      </w:r>
      <w:r w:rsidR="001B2582">
        <w:rPr>
          <w:lang w:bidi="ar-SA"/>
        </w:rPr>
        <w:t xml:space="preserve"> 100</w:t>
      </w:r>
      <w:r w:rsidR="00A84FE5">
        <w:rPr>
          <w:lang w:bidi="ar-SA"/>
        </w:rPr>
        <w:t xml:space="preserve">% identity to </w:t>
      </w:r>
      <w:r w:rsidR="00A84FE5">
        <w:rPr>
          <w:i/>
          <w:lang w:eastAsia="en-AU" w:bidi="ar-SA"/>
        </w:rPr>
        <w:t xml:space="preserve">T. reesei </w:t>
      </w:r>
      <w:r w:rsidR="001B2582">
        <w:rPr>
          <w:lang w:eastAsia="en-AU" w:bidi="ar-SA"/>
        </w:rPr>
        <w:t>QM6a aspartate protease (</w:t>
      </w:r>
      <w:r w:rsidR="008B6B30">
        <w:rPr>
          <w:lang w:bidi="ar-SA"/>
        </w:rPr>
        <w:t>Aspergillopepsin I</w:t>
      </w:r>
      <w:r w:rsidR="007C22FC">
        <w:rPr>
          <w:lang w:bidi="ar-SA"/>
        </w:rPr>
        <w:t xml:space="preserve"> is an aspartate</w:t>
      </w:r>
      <w:r w:rsidR="001B2582">
        <w:rPr>
          <w:lang w:bidi="ar-SA"/>
        </w:rPr>
        <w:t xml:space="preserve"> protease).</w:t>
      </w:r>
    </w:p>
    <w:p w14:paraId="1051BE11" w14:textId="25F75C3D" w:rsidR="006D6551" w:rsidRDefault="006D6551" w:rsidP="00BE1FE0">
      <w:pPr>
        <w:rPr>
          <w:lang w:eastAsia="en-AU" w:bidi="ar-SA"/>
        </w:rPr>
      </w:pPr>
    </w:p>
    <w:p w14:paraId="1D9A528D" w14:textId="219DFD93" w:rsidR="006D6551" w:rsidRPr="00844119" w:rsidRDefault="00FF3283" w:rsidP="00BE1FE0">
      <w:pPr>
        <w:rPr>
          <w:lang w:eastAsia="en-AU" w:bidi="ar-SA"/>
        </w:rPr>
      </w:pPr>
      <w:r>
        <w:rPr>
          <w:lang w:eastAsia="en-AU" w:bidi="ar-SA"/>
        </w:rPr>
        <w:t>T</w:t>
      </w:r>
      <w:r w:rsidRPr="00FF3283">
        <w:rPr>
          <w:lang w:eastAsia="en-AU" w:bidi="ar-SA"/>
        </w:rPr>
        <w:t>he acetamidase gene (</w:t>
      </w:r>
      <w:r w:rsidRPr="004B00F6">
        <w:rPr>
          <w:i/>
          <w:lang w:eastAsia="en-AU" w:bidi="ar-SA"/>
        </w:rPr>
        <w:t>amdS</w:t>
      </w:r>
      <w:r w:rsidRPr="00FF3283">
        <w:rPr>
          <w:lang w:eastAsia="en-AU" w:bidi="ar-SA"/>
        </w:rPr>
        <w:t>)</w:t>
      </w:r>
      <w:r w:rsidR="00C21A0F">
        <w:rPr>
          <w:lang w:eastAsia="en-AU" w:bidi="ar-SA"/>
        </w:rPr>
        <w:t>,</w:t>
      </w:r>
      <w:r w:rsidRPr="00FF3283">
        <w:rPr>
          <w:lang w:eastAsia="en-AU" w:bidi="ar-SA"/>
        </w:rPr>
        <w:t xml:space="preserve"> </w:t>
      </w:r>
      <w:r>
        <w:rPr>
          <w:lang w:eastAsia="en-AU" w:bidi="ar-SA"/>
        </w:rPr>
        <w:t>used as a selection marker for positive transformants</w:t>
      </w:r>
      <w:r w:rsidR="00C21A0F">
        <w:rPr>
          <w:lang w:eastAsia="en-AU" w:bidi="ar-SA"/>
        </w:rPr>
        <w:t>,</w:t>
      </w:r>
      <w:r>
        <w:rPr>
          <w:lang w:eastAsia="en-AU" w:bidi="ar-SA"/>
        </w:rPr>
        <w:t xml:space="preserve"> is </w:t>
      </w:r>
      <w:r w:rsidRPr="00FF3283">
        <w:rPr>
          <w:lang w:eastAsia="en-AU" w:bidi="ar-SA"/>
        </w:rPr>
        <w:t xml:space="preserve">from </w:t>
      </w:r>
      <w:r w:rsidRPr="004B00F6">
        <w:rPr>
          <w:i/>
          <w:lang w:eastAsia="en-AU" w:bidi="ar-SA"/>
        </w:rPr>
        <w:t>Aspergillus nidulans</w:t>
      </w:r>
      <w:r w:rsidR="00C21A0F">
        <w:rPr>
          <w:i/>
          <w:lang w:eastAsia="en-AU" w:bidi="ar-SA"/>
        </w:rPr>
        <w:t xml:space="preserve">. </w:t>
      </w:r>
      <w:r w:rsidR="00AC1476">
        <w:rPr>
          <w:lang w:eastAsia="en-AU" w:bidi="ar-SA"/>
        </w:rPr>
        <w:t xml:space="preserve">Its inclusion is regarded as </w:t>
      </w:r>
      <w:r w:rsidR="00C21A0F" w:rsidRPr="00C21A0F">
        <w:rPr>
          <w:lang w:eastAsia="en-AU" w:bidi="ar-SA"/>
        </w:rPr>
        <w:t xml:space="preserve">‘mainstream’ in filamentous fungi </w:t>
      </w:r>
      <w:r w:rsidR="00AC1476">
        <w:rPr>
          <w:lang w:eastAsia="en-AU" w:bidi="ar-SA"/>
        </w:rPr>
        <w:t xml:space="preserve">systems </w:t>
      </w:r>
      <w:r w:rsidR="00C21A0F" w:rsidRPr="00C21A0F">
        <w:rPr>
          <w:lang w:eastAsia="en-AU" w:bidi="ar-SA"/>
        </w:rPr>
        <w:t xml:space="preserve">producing a variety of recombinant gene products (Gryshyna </w:t>
      </w:r>
      <w:r w:rsidR="00512606" w:rsidRPr="00512606">
        <w:rPr>
          <w:rFonts w:eastAsia="TimesNewRomanPSMT" w:cs="Arial"/>
          <w:i/>
          <w:iCs/>
          <w:szCs w:val="22"/>
          <w:lang w:bidi="ar-SA"/>
        </w:rPr>
        <w:t>et al.</w:t>
      </w:r>
      <w:r w:rsidR="00512606" w:rsidRPr="00512606">
        <w:rPr>
          <w:rFonts w:eastAsia="TimesNewRomanPSMT" w:cs="Arial"/>
          <w:i/>
          <w:szCs w:val="22"/>
          <w:lang w:bidi="ar-SA"/>
        </w:rPr>
        <w:t>,</w:t>
      </w:r>
      <w:r w:rsidR="00C21A0F" w:rsidRPr="00C21A0F">
        <w:rPr>
          <w:lang w:eastAsia="en-AU" w:bidi="ar-SA"/>
        </w:rPr>
        <w:t xml:space="preserve"> 2016)</w:t>
      </w:r>
      <w:r w:rsidR="008B6147">
        <w:rPr>
          <w:lang w:eastAsia="en-AU" w:bidi="ar-SA"/>
        </w:rPr>
        <w:t xml:space="preserve"> and th</w:t>
      </w:r>
      <w:r w:rsidR="006145EC">
        <w:rPr>
          <w:lang w:eastAsia="en-AU" w:bidi="ar-SA"/>
        </w:rPr>
        <w:t>ere are no safety concerns with acetamidase</w:t>
      </w:r>
      <w:r w:rsidR="00194C3E">
        <w:rPr>
          <w:lang w:eastAsia="en-AU" w:bidi="ar-SA"/>
        </w:rPr>
        <w:t>.</w:t>
      </w:r>
    </w:p>
    <w:p w14:paraId="59709545" w14:textId="392A4E77" w:rsidR="00CA3849" w:rsidRPr="00D67005" w:rsidRDefault="00CA3849" w:rsidP="00BD59CB">
      <w:pPr>
        <w:pStyle w:val="Heading2"/>
      </w:pPr>
      <w:bookmarkStart w:id="59" w:name="_Toc499282443"/>
      <w:bookmarkStart w:id="60" w:name="_Toc505255640"/>
      <w:bookmarkStart w:id="61" w:name="_Toc533087520"/>
      <w:bookmarkStart w:id="62" w:name="_Toc534297213"/>
      <w:r>
        <w:t>3.3</w:t>
      </w:r>
      <w:r w:rsidR="001E6A7B">
        <w:tab/>
      </w:r>
      <w:r>
        <w:t>Characterisation of the genetic modification(s)</w:t>
      </w:r>
      <w:bookmarkEnd w:id="59"/>
      <w:bookmarkEnd w:id="60"/>
      <w:bookmarkEnd w:id="61"/>
      <w:bookmarkEnd w:id="62"/>
    </w:p>
    <w:p w14:paraId="595DDA61" w14:textId="77777777" w:rsidR="00066184" w:rsidRDefault="00066184" w:rsidP="00066184">
      <w:pPr>
        <w:pStyle w:val="Heading4"/>
      </w:pPr>
      <w:bookmarkStart w:id="63" w:name="_Toc498940971"/>
      <w:bookmarkStart w:id="64" w:name="_Toc499282444"/>
      <w:r>
        <w:t xml:space="preserve">3.3.1 </w:t>
      </w:r>
      <w:r>
        <w:tab/>
        <w:t>Description of DNA to be introduced and method of transformation</w:t>
      </w:r>
      <w:bookmarkEnd w:id="63"/>
      <w:bookmarkEnd w:id="64"/>
      <w:r>
        <w:t xml:space="preserve"> </w:t>
      </w:r>
    </w:p>
    <w:p w14:paraId="008FA02C" w14:textId="5BE1D5E6" w:rsidR="00066184" w:rsidRDefault="00066184" w:rsidP="00066184">
      <w:pPr>
        <w:spacing w:line="20" w:lineRule="atLeast"/>
        <w:rPr>
          <w:rFonts w:cs="Arial"/>
          <w:color w:val="000000" w:themeColor="text1"/>
        </w:rPr>
      </w:pPr>
      <w:bookmarkStart w:id="65" w:name="_Toc498940972"/>
      <w:bookmarkStart w:id="66" w:name="_Toc499282445"/>
      <w:r>
        <w:rPr>
          <w:rFonts w:cs="Arial"/>
          <w:color w:val="000000" w:themeColor="text1"/>
        </w:rPr>
        <w:t xml:space="preserve">Production strain NPSP24 was derived from parental strain, RL-P37 </w:t>
      </w:r>
      <w:r w:rsidRPr="004206CA">
        <w:rPr>
          <w:rFonts w:cs="Arial"/>
          <w:color w:val="000000" w:themeColor="text1"/>
        </w:rPr>
        <w:t>(Sheir-Neiss &amp; Montenecourt 1984) that</w:t>
      </w:r>
      <w:r>
        <w:rPr>
          <w:rFonts w:cs="Arial"/>
          <w:color w:val="000000" w:themeColor="text1"/>
        </w:rPr>
        <w:t>, itself,</w:t>
      </w:r>
      <w:r w:rsidRPr="004206CA">
        <w:rPr>
          <w:rFonts w:cs="Arial"/>
          <w:color w:val="000000" w:themeColor="text1"/>
        </w:rPr>
        <w:t xml:space="preserve"> originated</w:t>
      </w:r>
      <w:r>
        <w:rPr>
          <w:rFonts w:cs="Arial"/>
          <w:color w:val="000000" w:themeColor="text1"/>
        </w:rPr>
        <w:t xml:space="preserve"> via classical mutagenesis from strain QM6a and has previously been used by the </w:t>
      </w:r>
      <w:r w:rsidR="0063057C">
        <w:rPr>
          <w:rFonts w:cs="Arial"/>
          <w:color w:val="000000" w:themeColor="text1"/>
        </w:rPr>
        <w:t xml:space="preserve">applicant </w:t>
      </w:r>
      <w:r>
        <w:rPr>
          <w:rFonts w:cs="Arial"/>
          <w:color w:val="000000" w:themeColor="text1"/>
        </w:rPr>
        <w:t xml:space="preserve">to manufacture commercial cellulose and xylanase preparations. </w:t>
      </w:r>
    </w:p>
    <w:p w14:paraId="21005ECD" w14:textId="77777777" w:rsidR="00066184" w:rsidRDefault="00066184" w:rsidP="00066184">
      <w:pPr>
        <w:spacing w:line="20" w:lineRule="atLeast"/>
        <w:rPr>
          <w:rFonts w:cs="Arial"/>
          <w:color w:val="000000" w:themeColor="text1"/>
        </w:rPr>
      </w:pPr>
    </w:p>
    <w:p w14:paraId="26419566" w14:textId="646FBC65" w:rsidR="00066184" w:rsidRDefault="00066184" w:rsidP="00066184">
      <w:pPr>
        <w:autoSpaceDE w:val="0"/>
        <w:autoSpaceDN w:val="0"/>
        <w:adjustRightInd w:val="0"/>
        <w:rPr>
          <w:rFonts w:cs="Arial"/>
          <w:color w:val="000000" w:themeColor="text1"/>
        </w:rPr>
      </w:pPr>
      <w:r>
        <w:rPr>
          <w:rFonts w:cs="Arial"/>
          <w:color w:val="000000" w:themeColor="text1"/>
        </w:rPr>
        <w:t xml:space="preserve">RL-P37 then underwent a complex series of genetic modifications via </w:t>
      </w:r>
      <w:r w:rsidRPr="00D26352">
        <w:rPr>
          <w:rFonts w:cs="Arial"/>
          <w:color w:val="000000" w:themeColor="text1"/>
        </w:rPr>
        <w:t>protoplast-mediated transformation procedure</w:t>
      </w:r>
      <w:r>
        <w:rPr>
          <w:rFonts w:cs="Arial"/>
          <w:color w:val="000000" w:themeColor="text1"/>
        </w:rPr>
        <w:t xml:space="preserve">s </w:t>
      </w:r>
      <w:r w:rsidRPr="0067626C">
        <w:rPr>
          <w:rFonts w:cs="Arial"/>
          <w:color w:val="000000" w:themeColor="text1"/>
          <w:szCs w:val="22"/>
        </w:rPr>
        <w:t>(</w:t>
      </w:r>
      <w:r w:rsidRPr="004206CA">
        <w:rPr>
          <w:rFonts w:cs="Arial"/>
          <w:color w:val="000000" w:themeColor="text1"/>
          <w:szCs w:val="22"/>
        </w:rPr>
        <w:t xml:space="preserve">see e.g. </w:t>
      </w:r>
      <w:r w:rsidR="009F0CD4" w:rsidRPr="009F0CD4">
        <w:rPr>
          <w:rFonts w:cs="Arial"/>
          <w:color w:val="000000" w:themeColor="text1"/>
        </w:rPr>
        <w:t>Penttilä</w:t>
      </w:r>
      <w:r w:rsidRPr="009F0CD4">
        <w:rPr>
          <w:rFonts w:eastAsia="TimesNewRomanPSMT" w:cs="Arial"/>
          <w:szCs w:val="22"/>
          <w:lang w:bidi="ar-SA"/>
        </w:rPr>
        <w:t xml:space="preserve"> </w:t>
      </w:r>
      <w:r w:rsidRPr="00512606">
        <w:rPr>
          <w:rFonts w:eastAsia="TimesNewRomanPSMT" w:cs="Arial"/>
          <w:i/>
          <w:iCs/>
          <w:szCs w:val="22"/>
          <w:lang w:bidi="ar-SA"/>
        </w:rPr>
        <w:t>et al</w:t>
      </w:r>
      <w:r w:rsidRPr="00512606">
        <w:rPr>
          <w:rFonts w:eastAsia="TimesNewRomanPSMT" w:cs="Arial"/>
          <w:i/>
          <w:szCs w:val="22"/>
          <w:lang w:bidi="ar-SA"/>
        </w:rPr>
        <w:t>.,</w:t>
      </w:r>
      <w:r w:rsidRPr="004206CA">
        <w:rPr>
          <w:rFonts w:eastAsia="TimesNewRomanPSMT" w:cs="Arial"/>
          <w:szCs w:val="22"/>
          <w:lang w:bidi="ar-SA"/>
        </w:rPr>
        <w:t xml:space="preserve"> 1987</w:t>
      </w:r>
      <w:r w:rsidRPr="00036AF2">
        <w:rPr>
          <w:rFonts w:eastAsia="TimesNewRomanPSMT" w:cs="Arial"/>
          <w:szCs w:val="22"/>
          <w:lang w:bidi="ar-SA"/>
        </w:rPr>
        <w:t xml:space="preserve">; Gruber </w:t>
      </w:r>
      <w:r w:rsidRPr="00512606">
        <w:rPr>
          <w:rFonts w:eastAsia="TimesNewRomanPSMT" w:cs="Arial"/>
          <w:i/>
          <w:iCs/>
          <w:szCs w:val="22"/>
          <w:lang w:bidi="ar-SA"/>
        </w:rPr>
        <w:t>et al.,</w:t>
      </w:r>
      <w:r w:rsidRPr="00036AF2">
        <w:rPr>
          <w:rFonts w:eastAsia="TimesNewRomanPSMT" w:cs="Arial"/>
          <w:i/>
          <w:iCs/>
          <w:szCs w:val="22"/>
          <w:lang w:bidi="ar-SA"/>
        </w:rPr>
        <w:t xml:space="preserve"> </w:t>
      </w:r>
      <w:r w:rsidRPr="00036AF2">
        <w:rPr>
          <w:rFonts w:eastAsia="TimesNewRomanPSMT" w:cs="Arial"/>
          <w:szCs w:val="22"/>
          <w:lang w:bidi="ar-SA"/>
        </w:rPr>
        <w:t xml:space="preserve">1990; Smith </w:t>
      </w:r>
      <w:r w:rsidRPr="00512606">
        <w:rPr>
          <w:rFonts w:eastAsia="TimesNewRomanPSMT" w:cs="Arial"/>
          <w:i/>
          <w:iCs/>
          <w:szCs w:val="22"/>
          <w:lang w:bidi="ar-SA"/>
        </w:rPr>
        <w:t>et al.</w:t>
      </w:r>
      <w:r w:rsidRPr="00512606">
        <w:rPr>
          <w:rFonts w:eastAsia="TimesNewRomanPSMT" w:cs="Arial"/>
          <w:i/>
          <w:szCs w:val="22"/>
          <w:lang w:bidi="ar-SA"/>
        </w:rPr>
        <w:t>,</w:t>
      </w:r>
      <w:r w:rsidRPr="00036AF2">
        <w:rPr>
          <w:rFonts w:eastAsia="TimesNewRomanPSMT" w:cs="Arial"/>
          <w:szCs w:val="22"/>
          <w:lang w:bidi="ar-SA"/>
        </w:rPr>
        <w:t xml:space="preserve"> 1991)</w:t>
      </w:r>
      <w:r w:rsidRPr="00036AF2">
        <w:rPr>
          <w:rFonts w:cs="Arial"/>
          <w:color w:val="000000" w:themeColor="text1"/>
          <w:szCs w:val="22"/>
        </w:rPr>
        <w:t>, using</w:t>
      </w:r>
      <w:r w:rsidRPr="00036AF2">
        <w:rPr>
          <w:rFonts w:cs="Arial"/>
          <w:color w:val="000000" w:themeColor="text1"/>
        </w:rPr>
        <w:t xml:space="preserve"> protoplasts prepared from mycelia (Penttilä </w:t>
      </w:r>
      <w:r w:rsidR="00512606" w:rsidRPr="00512606">
        <w:rPr>
          <w:rFonts w:eastAsia="TimesNewRomanPSMT" w:cs="Arial"/>
          <w:i/>
          <w:iCs/>
          <w:szCs w:val="22"/>
          <w:lang w:bidi="ar-SA"/>
        </w:rPr>
        <w:t>et al.</w:t>
      </w:r>
      <w:r w:rsidR="00512606" w:rsidRPr="00512606">
        <w:rPr>
          <w:rFonts w:eastAsia="TimesNewRomanPSMT" w:cs="Arial"/>
          <w:i/>
          <w:szCs w:val="22"/>
          <w:lang w:bidi="ar-SA"/>
        </w:rPr>
        <w:t>,</w:t>
      </w:r>
      <w:r w:rsidRPr="00036AF2">
        <w:rPr>
          <w:rFonts w:cs="Arial"/>
          <w:color w:val="000000" w:themeColor="text1"/>
        </w:rPr>
        <w:t xml:space="preserve"> 1987; Karhunen </w:t>
      </w:r>
      <w:r w:rsidR="00512606" w:rsidRPr="00512606">
        <w:rPr>
          <w:rFonts w:eastAsia="TimesNewRomanPSMT" w:cs="Arial"/>
          <w:i/>
          <w:iCs/>
          <w:szCs w:val="22"/>
          <w:lang w:bidi="ar-SA"/>
        </w:rPr>
        <w:t>et al.</w:t>
      </w:r>
      <w:r w:rsidR="00512606" w:rsidRPr="00512606">
        <w:rPr>
          <w:rFonts w:eastAsia="TimesNewRomanPSMT" w:cs="Arial"/>
          <w:i/>
          <w:szCs w:val="22"/>
          <w:lang w:bidi="ar-SA"/>
        </w:rPr>
        <w:t>,</w:t>
      </w:r>
      <w:r w:rsidRPr="00036AF2">
        <w:rPr>
          <w:rFonts w:cs="Arial"/>
          <w:color w:val="000000" w:themeColor="text1"/>
        </w:rPr>
        <w:t xml:space="preserve"> 1993</w:t>
      </w:r>
      <w:r w:rsidRPr="004206CA">
        <w:rPr>
          <w:rFonts w:cs="Arial"/>
          <w:color w:val="000000" w:themeColor="text1"/>
        </w:rPr>
        <w:t>) to</w:t>
      </w:r>
      <w:r>
        <w:rPr>
          <w:rFonts w:cs="Arial"/>
          <w:color w:val="000000" w:themeColor="text1"/>
        </w:rPr>
        <w:t xml:space="preserve"> reduce cellulytic activities by inactivating several key genes. As a result of this inactivation, the production strain is unable to survive in the natural environment because it is unable to </w:t>
      </w:r>
      <w:r>
        <w:rPr>
          <w:rFonts w:cs="Arial"/>
          <w:color w:val="000000" w:themeColor="text1"/>
        </w:rPr>
        <w:lastRenderedPageBreak/>
        <w:t xml:space="preserve">use cellulose as a carbon </w:t>
      </w:r>
      <w:r w:rsidRPr="006E03D3">
        <w:rPr>
          <w:rFonts w:cs="Arial"/>
          <w:color w:val="000000" w:themeColor="text1"/>
        </w:rPr>
        <w:t xml:space="preserve">source. </w:t>
      </w:r>
      <w:r w:rsidRPr="00231EA5">
        <w:rPr>
          <w:szCs w:val="22"/>
        </w:rPr>
        <w:t>These modifications are designed to improve efficiency and safety and do not raise any safety concerns.</w:t>
      </w:r>
      <w:r>
        <w:rPr>
          <w:szCs w:val="22"/>
        </w:rPr>
        <w:t xml:space="preserve"> </w:t>
      </w:r>
      <w:r w:rsidR="00572BCF">
        <w:rPr>
          <w:rFonts w:cs="Arial"/>
          <w:color w:val="000000" w:themeColor="text1"/>
        </w:rPr>
        <w:t>The</w:t>
      </w:r>
      <w:r w:rsidRPr="006E03D3">
        <w:rPr>
          <w:rFonts w:cs="Arial"/>
          <w:color w:val="000000" w:themeColor="text1"/>
        </w:rPr>
        <w:t xml:space="preserve"> selecti</w:t>
      </w:r>
      <w:r w:rsidR="00572BCF">
        <w:rPr>
          <w:rFonts w:cs="Arial"/>
          <w:color w:val="000000" w:themeColor="text1"/>
        </w:rPr>
        <w:t>on of</w:t>
      </w:r>
      <w:r w:rsidRPr="006E03D3">
        <w:rPr>
          <w:rFonts w:cs="Arial"/>
          <w:color w:val="000000" w:themeColor="text1"/>
        </w:rPr>
        <w:t xml:space="preserve"> desired transformants during the development of the final organism was </w:t>
      </w:r>
      <w:r w:rsidR="00572BCF">
        <w:rPr>
          <w:rFonts w:cs="Arial"/>
          <w:color w:val="000000" w:themeColor="text1"/>
        </w:rPr>
        <w:t>facilitated</w:t>
      </w:r>
      <w:r w:rsidR="00572BCF" w:rsidRPr="006E03D3">
        <w:rPr>
          <w:rFonts w:cs="Arial"/>
          <w:color w:val="000000" w:themeColor="text1"/>
        </w:rPr>
        <w:t xml:space="preserve"> </w:t>
      </w:r>
      <w:r w:rsidRPr="006E03D3">
        <w:rPr>
          <w:rFonts w:cs="Arial"/>
          <w:color w:val="000000" w:themeColor="text1"/>
        </w:rPr>
        <w:t xml:space="preserve">by using spontaneous mutants that </w:t>
      </w:r>
      <w:r w:rsidR="0063057C">
        <w:rPr>
          <w:rFonts w:cs="Arial"/>
          <w:color w:val="000000" w:themeColor="text1"/>
        </w:rPr>
        <w:t>can</w:t>
      </w:r>
      <w:r w:rsidR="0063057C" w:rsidRPr="006E03D3">
        <w:rPr>
          <w:rFonts w:cs="Arial"/>
          <w:color w:val="000000" w:themeColor="text1"/>
        </w:rPr>
        <w:t xml:space="preserve"> </w:t>
      </w:r>
      <w:r w:rsidRPr="006E03D3">
        <w:rPr>
          <w:rFonts w:cs="Arial"/>
          <w:color w:val="000000" w:themeColor="text1"/>
        </w:rPr>
        <w:t xml:space="preserve">grow on medium containing the toxic inhibitor 5-fluoroorotic acid (FOA) (together with uridine) as a result of a defective genomic </w:t>
      </w:r>
      <w:r w:rsidRPr="006E03D3">
        <w:rPr>
          <w:rFonts w:cs="Arial"/>
          <w:i/>
          <w:color w:val="000000" w:themeColor="text1"/>
        </w:rPr>
        <w:t>pyr4</w:t>
      </w:r>
      <w:r w:rsidRPr="006E03D3">
        <w:rPr>
          <w:rFonts w:cs="Arial"/>
          <w:color w:val="000000" w:themeColor="text1"/>
        </w:rPr>
        <w:t xml:space="preserve"> gene.</w:t>
      </w:r>
      <w:r>
        <w:rPr>
          <w:rFonts w:cs="Arial"/>
          <w:color w:val="000000" w:themeColor="text1"/>
        </w:rPr>
        <w:t xml:space="preserve"> </w:t>
      </w:r>
    </w:p>
    <w:p w14:paraId="3D0D2E81" w14:textId="77777777" w:rsidR="00066184" w:rsidRDefault="00066184" w:rsidP="00066184">
      <w:pPr>
        <w:spacing w:line="20" w:lineRule="atLeast"/>
        <w:rPr>
          <w:rFonts w:cs="Arial"/>
          <w:color w:val="000000" w:themeColor="text1"/>
        </w:rPr>
      </w:pPr>
    </w:p>
    <w:p w14:paraId="3DBDCEC9" w14:textId="77777777" w:rsidR="00066184" w:rsidRDefault="00066184" w:rsidP="00066184">
      <w:pPr>
        <w:autoSpaceDE w:val="0"/>
        <w:autoSpaceDN w:val="0"/>
        <w:adjustRightInd w:val="0"/>
        <w:rPr>
          <w:rFonts w:cs="Arial"/>
          <w:color w:val="000000" w:themeColor="text1"/>
        </w:rPr>
      </w:pPr>
      <w:r>
        <w:rPr>
          <w:rFonts w:cs="Arial"/>
          <w:color w:val="000000" w:themeColor="text1"/>
        </w:rPr>
        <w:t>In the final stage of transformation, strain NSP24</w:t>
      </w:r>
      <w:r w:rsidRPr="00734D58">
        <w:rPr>
          <w:rFonts w:cs="Arial"/>
          <w:color w:val="000000" w:themeColor="text1"/>
        </w:rPr>
        <w:t xml:space="preserve"> was produced by protoplast-mediated transformation</w:t>
      </w:r>
      <w:r>
        <w:rPr>
          <w:rFonts w:cs="Arial"/>
          <w:color w:val="000000" w:themeColor="text1"/>
        </w:rPr>
        <w:t xml:space="preserve"> of mycelia cells to integrate two</w:t>
      </w:r>
      <w:r w:rsidRPr="00734D58">
        <w:rPr>
          <w:rFonts w:cs="Arial"/>
          <w:color w:val="000000" w:themeColor="text1"/>
        </w:rPr>
        <w:t xml:space="preserve"> purified linear DNA fragment</w:t>
      </w:r>
      <w:r>
        <w:rPr>
          <w:rFonts w:cs="Arial"/>
          <w:color w:val="000000" w:themeColor="text1"/>
        </w:rPr>
        <w:t xml:space="preserve">s </w:t>
      </w:r>
      <w:r w:rsidRPr="00734D58">
        <w:rPr>
          <w:rFonts w:cs="Arial"/>
          <w:color w:val="000000" w:themeColor="text1"/>
        </w:rPr>
        <w:t xml:space="preserve">(i.e. free from any vector-derived sequences) </w:t>
      </w:r>
      <w:r>
        <w:rPr>
          <w:rFonts w:cs="Arial"/>
          <w:color w:val="000000" w:themeColor="text1"/>
        </w:rPr>
        <w:t>each containing two cassettes:</w:t>
      </w:r>
    </w:p>
    <w:p w14:paraId="35B2D4EE" w14:textId="77777777" w:rsidR="00066184" w:rsidRDefault="00066184" w:rsidP="00066184">
      <w:pPr>
        <w:autoSpaceDE w:val="0"/>
        <w:autoSpaceDN w:val="0"/>
        <w:adjustRightInd w:val="0"/>
        <w:rPr>
          <w:rFonts w:cs="Arial"/>
          <w:color w:val="000000" w:themeColor="text1"/>
        </w:rPr>
      </w:pPr>
    </w:p>
    <w:p w14:paraId="289F751F" w14:textId="406E00DB" w:rsidR="00066184" w:rsidRPr="00D4672D" w:rsidRDefault="00066184" w:rsidP="00066184">
      <w:pPr>
        <w:pStyle w:val="ListParagraph"/>
        <w:widowControl w:val="0"/>
        <w:numPr>
          <w:ilvl w:val="0"/>
          <w:numId w:val="18"/>
        </w:numPr>
        <w:autoSpaceDE w:val="0"/>
        <w:autoSpaceDN w:val="0"/>
        <w:adjustRightInd w:val="0"/>
        <w:ind w:left="567" w:hanging="567"/>
        <w:rPr>
          <w:rFonts w:cs="Arial"/>
          <w:color w:val="000000" w:themeColor="text1"/>
        </w:rPr>
      </w:pPr>
      <w:r w:rsidRPr="00E82119">
        <w:rPr>
          <w:rFonts w:cs="Arial"/>
          <w:color w:val="000000" w:themeColor="text1"/>
        </w:rPr>
        <w:t>In the first fragment, the first cassette, driven b</w:t>
      </w:r>
      <w:r>
        <w:rPr>
          <w:rFonts w:cs="Arial"/>
          <w:color w:val="000000" w:themeColor="text1"/>
        </w:rPr>
        <w:t>y the</w:t>
      </w:r>
      <w:r w:rsidRPr="00A30354">
        <w:rPr>
          <w:rFonts w:cs="Arial"/>
          <w:color w:val="000000" w:themeColor="text1"/>
        </w:rPr>
        <w:t xml:space="preserve"> </w:t>
      </w:r>
      <w:r>
        <w:rPr>
          <w:rFonts w:cs="Arial"/>
          <w:color w:val="000000" w:themeColor="text1"/>
        </w:rPr>
        <w:t xml:space="preserve">strong </w:t>
      </w:r>
      <w:r w:rsidRPr="00A30354">
        <w:rPr>
          <w:rFonts w:cs="Arial"/>
          <w:color w:val="000000" w:themeColor="text1"/>
        </w:rPr>
        <w:t xml:space="preserve">native </w:t>
      </w:r>
      <w:r>
        <w:rPr>
          <w:rFonts w:cs="Arial"/>
          <w:i/>
          <w:color w:val="000000" w:themeColor="text1"/>
        </w:rPr>
        <w:t xml:space="preserve">T. reesei </w:t>
      </w:r>
      <w:r w:rsidRPr="00A30354">
        <w:rPr>
          <w:rFonts w:cs="Arial"/>
          <w:color w:val="000000" w:themeColor="text1"/>
        </w:rPr>
        <w:t>promoter</w:t>
      </w:r>
      <w:r>
        <w:rPr>
          <w:rFonts w:cs="Arial"/>
          <w:color w:val="000000" w:themeColor="text1"/>
        </w:rPr>
        <w:t xml:space="preserve"> from the cellobiohydrolase 1 (</w:t>
      </w:r>
      <w:r w:rsidRPr="00B8095F">
        <w:rPr>
          <w:rFonts w:cs="Arial"/>
          <w:i/>
          <w:color w:val="000000" w:themeColor="text1"/>
        </w:rPr>
        <w:t>cbh1</w:t>
      </w:r>
      <w:r>
        <w:rPr>
          <w:rFonts w:cs="Arial"/>
          <w:color w:val="000000" w:themeColor="text1"/>
        </w:rPr>
        <w:t>) gene</w:t>
      </w:r>
      <w:r w:rsidRPr="00E82119">
        <w:rPr>
          <w:rFonts w:cs="Arial"/>
          <w:color w:val="000000" w:themeColor="text1"/>
        </w:rPr>
        <w:t xml:space="preserve"> </w:t>
      </w:r>
      <w:r>
        <w:rPr>
          <w:rFonts w:cs="Arial"/>
          <w:color w:val="000000" w:themeColor="text1"/>
        </w:rPr>
        <w:t xml:space="preserve">contained the </w:t>
      </w:r>
      <w:r w:rsidRPr="00B1286F">
        <w:rPr>
          <w:rFonts w:cs="Arial"/>
          <w:i/>
          <w:color w:val="000000" w:themeColor="text1"/>
        </w:rPr>
        <w:t>nsp24</w:t>
      </w:r>
      <w:r>
        <w:rPr>
          <w:rFonts w:cs="Arial"/>
          <w:color w:val="000000" w:themeColor="text1"/>
        </w:rPr>
        <w:t xml:space="preserve"> coding sequence</w:t>
      </w:r>
      <w:r w:rsidRPr="00E82119">
        <w:rPr>
          <w:rFonts w:cs="Arial"/>
          <w:color w:val="000000" w:themeColor="text1"/>
        </w:rPr>
        <w:t xml:space="preserve"> </w:t>
      </w:r>
      <w:r>
        <w:rPr>
          <w:rFonts w:cs="Arial"/>
          <w:color w:val="000000" w:themeColor="text1"/>
        </w:rPr>
        <w:t xml:space="preserve">(plus signal sequence and a putative 78 bp intron) </w:t>
      </w:r>
      <w:r w:rsidRPr="00E82119">
        <w:rPr>
          <w:rFonts w:cs="Arial"/>
          <w:color w:val="000000" w:themeColor="text1"/>
        </w:rPr>
        <w:t xml:space="preserve">from </w:t>
      </w:r>
      <w:r w:rsidRPr="00E82119">
        <w:rPr>
          <w:rFonts w:cs="Arial"/>
          <w:i/>
          <w:color w:val="000000" w:themeColor="text1"/>
        </w:rPr>
        <w:t xml:space="preserve">T. reesei </w:t>
      </w:r>
      <w:r>
        <w:rPr>
          <w:rFonts w:cs="Arial"/>
          <w:color w:val="000000" w:themeColor="text1"/>
        </w:rPr>
        <w:t>with the</w:t>
      </w:r>
      <w:r w:rsidRPr="00E82119">
        <w:rPr>
          <w:rFonts w:cs="Arial"/>
          <w:color w:val="000000" w:themeColor="text1"/>
        </w:rPr>
        <w:t xml:space="preserve"> </w:t>
      </w:r>
      <w:r w:rsidRPr="00E82119">
        <w:rPr>
          <w:rFonts w:cs="Arial"/>
          <w:i/>
          <w:color w:val="000000" w:themeColor="text1"/>
        </w:rPr>
        <w:t xml:space="preserve">T. reesei </w:t>
      </w:r>
      <w:r>
        <w:rPr>
          <w:rFonts w:cs="Arial"/>
          <w:i/>
          <w:color w:val="000000" w:themeColor="text1"/>
        </w:rPr>
        <w:t xml:space="preserve">cbh1 </w:t>
      </w:r>
      <w:r w:rsidRPr="00E82119">
        <w:rPr>
          <w:rFonts w:cs="Arial"/>
          <w:color w:val="000000" w:themeColor="text1"/>
        </w:rPr>
        <w:t xml:space="preserve">terminator. The second cassette comprised the </w:t>
      </w:r>
      <w:r w:rsidR="00C46054">
        <w:rPr>
          <w:rFonts w:cs="Arial"/>
          <w:color w:val="000000" w:themeColor="text1"/>
        </w:rPr>
        <w:t xml:space="preserve">native </w:t>
      </w:r>
      <w:r w:rsidRPr="00E82119">
        <w:rPr>
          <w:rFonts w:cs="Arial"/>
          <w:color w:val="000000" w:themeColor="text1"/>
        </w:rPr>
        <w:t>orotate phosphoribosyltransferase (</w:t>
      </w:r>
      <w:r w:rsidRPr="00E82119">
        <w:rPr>
          <w:rFonts w:cs="Arial"/>
          <w:i/>
          <w:color w:val="000000" w:themeColor="text1"/>
        </w:rPr>
        <w:t>pyr2</w:t>
      </w:r>
      <w:r w:rsidRPr="00E82119">
        <w:rPr>
          <w:rFonts w:cs="Arial"/>
          <w:color w:val="000000" w:themeColor="text1"/>
        </w:rPr>
        <w:t xml:space="preserve">) gene from </w:t>
      </w:r>
      <w:r w:rsidRPr="00E82119">
        <w:rPr>
          <w:rFonts w:cs="Arial"/>
          <w:i/>
          <w:color w:val="000000" w:themeColor="text1"/>
        </w:rPr>
        <w:t>T. reesei</w:t>
      </w:r>
      <w:r w:rsidRPr="00E82119">
        <w:rPr>
          <w:rFonts w:cs="Arial"/>
          <w:color w:val="000000" w:themeColor="text1"/>
        </w:rPr>
        <w:t>. with its o</w:t>
      </w:r>
      <w:r w:rsidR="00C46054">
        <w:rPr>
          <w:rFonts w:cs="Arial"/>
          <w:color w:val="000000" w:themeColor="text1"/>
        </w:rPr>
        <w:t>wn promoter and terminator. The use of this</w:t>
      </w:r>
      <w:r w:rsidRPr="00E82119">
        <w:rPr>
          <w:rFonts w:cs="Arial"/>
          <w:color w:val="000000" w:themeColor="text1"/>
        </w:rPr>
        <w:t xml:space="preserve"> second gene allows selection </w:t>
      </w:r>
      <w:r>
        <w:rPr>
          <w:rFonts w:cs="Arial"/>
          <w:color w:val="000000" w:themeColor="text1"/>
        </w:rPr>
        <w:t>of</w:t>
      </w:r>
      <w:r w:rsidRPr="00E82119">
        <w:rPr>
          <w:rFonts w:cs="Arial"/>
          <w:color w:val="000000" w:themeColor="text1"/>
        </w:rPr>
        <w:t xml:space="preserve"> vectors on a medium containing uridine</w:t>
      </w:r>
      <w:r w:rsidR="00C46054">
        <w:rPr>
          <w:rFonts w:cs="Arial"/>
          <w:color w:val="000000" w:themeColor="text1"/>
        </w:rPr>
        <w:t xml:space="preserve"> </w:t>
      </w:r>
      <w:r w:rsidR="00FB7B0B" w:rsidRPr="009F0CD4">
        <w:rPr>
          <w:rFonts w:cs="Arial"/>
          <w:color w:val="000000" w:themeColor="text1"/>
        </w:rPr>
        <w:t>(</w:t>
      </w:r>
      <w:r w:rsidR="009F0CD4" w:rsidRPr="009F0CD4">
        <w:rPr>
          <w:rFonts w:cs="Arial"/>
          <w:color w:val="000000" w:themeColor="text1"/>
        </w:rPr>
        <w:t xml:space="preserve">see e.g. Jørgensen </w:t>
      </w:r>
      <w:r w:rsidR="005C0C87" w:rsidRPr="00512606">
        <w:rPr>
          <w:rFonts w:eastAsia="TimesNewRomanPSMT" w:cs="Arial"/>
          <w:i/>
          <w:iCs/>
        </w:rPr>
        <w:t>et al.</w:t>
      </w:r>
      <w:r w:rsidR="005C0C87" w:rsidRPr="00512606">
        <w:rPr>
          <w:rFonts w:eastAsia="TimesNewRomanPSMT" w:cs="Arial"/>
          <w:i/>
        </w:rPr>
        <w:t>,</w:t>
      </w:r>
      <w:r w:rsidR="005C0C87">
        <w:rPr>
          <w:rFonts w:eastAsia="TimesNewRomanPSMT" w:cs="Arial"/>
          <w:i/>
        </w:rPr>
        <w:t xml:space="preserve"> </w:t>
      </w:r>
      <w:r w:rsidR="009F0CD4" w:rsidRPr="009F0CD4">
        <w:rPr>
          <w:rFonts w:cs="Arial"/>
          <w:color w:val="000000" w:themeColor="text1"/>
        </w:rPr>
        <w:t xml:space="preserve">2014) </w:t>
      </w:r>
      <w:r w:rsidR="00C46054" w:rsidRPr="009F0CD4">
        <w:rPr>
          <w:rFonts w:cs="Arial"/>
          <w:color w:val="000000" w:themeColor="text1"/>
        </w:rPr>
        <w:t>and does not raise</w:t>
      </w:r>
      <w:r w:rsidR="00C46054">
        <w:rPr>
          <w:rFonts w:cs="Arial"/>
          <w:color w:val="000000" w:themeColor="text1"/>
        </w:rPr>
        <w:t xml:space="preserve"> any safety concerns. </w:t>
      </w:r>
      <w:r w:rsidRPr="00D4672D">
        <w:rPr>
          <w:rFonts w:cs="Arial"/>
          <w:color w:val="000000" w:themeColor="text1"/>
        </w:rPr>
        <w:t>In addition, the fragment also contained several short recombination site cloning remnants.</w:t>
      </w:r>
    </w:p>
    <w:p w14:paraId="085CE4C1" w14:textId="77777777" w:rsidR="00066184" w:rsidRDefault="00066184" w:rsidP="00066184">
      <w:pPr>
        <w:autoSpaceDE w:val="0"/>
        <w:autoSpaceDN w:val="0"/>
        <w:adjustRightInd w:val="0"/>
        <w:ind w:left="567" w:hanging="567"/>
        <w:rPr>
          <w:rFonts w:cs="Arial"/>
          <w:color w:val="000000" w:themeColor="text1"/>
        </w:rPr>
      </w:pPr>
    </w:p>
    <w:p w14:paraId="6EC08652" w14:textId="0F7043B2" w:rsidR="00066184" w:rsidRPr="00E82119" w:rsidRDefault="00066184" w:rsidP="00066184">
      <w:pPr>
        <w:pStyle w:val="ListParagraph"/>
        <w:widowControl w:val="0"/>
        <w:numPr>
          <w:ilvl w:val="0"/>
          <w:numId w:val="18"/>
        </w:numPr>
        <w:autoSpaceDE w:val="0"/>
        <w:autoSpaceDN w:val="0"/>
        <w:adjustRightInd w:val="0"/>
        <w:ind w:left="567" w:hanging="567"/>
        <w:rPr>
          <w:rFonts w:cs="Arial"/>
          <w:color w:val="000000" w:themeColor="text1"/>
        </w:rPr>
      </w:pPr>
      <w:r w:rsidRPr="00E82119">
        <w:rPr>
          <w:rFonts w:cs="Arial"/>
          <w:color w:val="000000" w:themeColor="text1"/>
        </w:rPr>
        <w:t xml:space="preserve">In the second fragment, the </w:t>
      </w:r>
      <w:r>
        <w:rPr>
          <w:rFonts w:cs="Arial"/>
          <w:color w:val="000000" w:themeColor="text1"/>
        </w:rPr>
        <w:t>first cassette</w:t>
      </w:r>
      <w:r w:rsidRPr="00E82119">
        <w:rPr>
          <w:rFonts w:cs="Arial"/>
          <w:color w:val="000000" w:themeColor="text1"/>
        </w:rPr>
        <w:t xml:space="preserve"> contained the same genetic elements as those described for the first fragment. </w:t>
      </w:r>
      <w:r>
        <w:rPr>
          <w:rFonts w:cs="Arial"/>
          <w:color w:val="000000" w:themeColor="text1"/>
        </w:rPr>
        <w:t>The second cassette</w:t>
      </w:r>
      <w:r w:rsidRPr="00E82119">
        <w:rPr>
          <w:rFonts w:cs="Arial"/>
          <w:color w:val="000000" w:themeColor="text1"/>
        </w:rPr>
        <w:t xml:space="preserve"> comprised the acetamidase gene (</w:t>
      </w:r>
      <w:r w:rsidRPr="00E82119">
        <w:rPr>
          <w:rFonts w:cs="Arial"/>
          <w:i/>
          <w:color w:val="000000" w:themeColor="text1"/>
        </w:rPr>
        <w:t>amdS)</w:t>
      </w:r>
      <w:r w:rsidRPr="00E82119">
        <w:rPr>
          <w:rFonts w:cs="Arial"/>
          <w:color w:val="000000" w:themeColor="text1"/>
        </w:rPr>
        <w:t xml:space="preserve"> from</w:t>
      </w:r>
      <w:r w:rsidRPr="00E82119">
        <w:rPr>
          <w:rFonts w:cs="Arial"/>
          <w:i/>
          <w:color w:val="000000" w:themeColor="text1"/>
        </w:rPr>
        <w:t xml:space="preserve"> A</w:t>
      </w:r>
      <w:r w:rsidR="00920FAF">
        <w:rPr>
          <w:rFonts w:cs="Arial"/>
          <w:i/>
          <w:color w:val="000000" w:themeColor="text1"/>
        </w:rPr>
        <w:t xml:space="preserve">. </w:t>
      </w:r>
      <w:r w:rsidRPr="00E82119">
        <w:rPr>
          <w:rFonts w:cs="Arial"/>
          <w:i/>
          <w:color w:val="000000" w:themeColor="text1"/>
        </w:rPr>
        <w:t xml:space="preserve">nidulans </w:t>
      </w:r>
      <w:r w:rsidRPr="00E82119">
        <w:rPr>
          <w:rFonts w:cs="Arial"/>
          <w:color w:val="000000" w:themeColor="text1"/>
        </w:rPr>
        <w:t>(Kell</w:t>
      </w:r>
      <w:r>
        <w:rPr>
          <w:rFonts w:cs="Arial"/>
          <w:color w:val="000000" w:themeColor="text1"/>
        </w:rPr>
        <w:t xml:space="preserve">y and Hynes, 1985), with the </w:t>
      </w:r>
      <w:r w:rsidRPr="00197F07">
        <w:rPr>
          <w:rFonts w:cs="Arial"/>
          <w:i/>
          <w:color w:val="000000" w:themeColor="text1"/>
        </w:rPr>
        <w:t xml:space="preserve">cbh1 </w:t>
      </w:r>
      <w:r w:rsidRPr="00E82119">
        <w:rPr>
          <w:rFonts w:cs="Arial"/>
          <w:color w:val="000000" w:themeColor="text1"/>
        </w:rPr>
        <w:t xml:space="preserve">promoter and terminator. This second gene allows </w:t>
      </w:r>
      <w:r>
        <w:rPr>
          <w:rFonts w:cs="Arial"/>
          <w:color w:val="000000" w:themeColor="text1"/>
        </w:rPr>
        <w:t>for selection of transformants</w:t>
      </w:r>
      <w:r w:rsidRPr="00E82119">
        <w:rPr>
          <w:rFonts w:cs="Arial"/>
          <w:color w:val="000000" w:themeColor="text1"/>
        </w:rPr>
        <w:t xml:space="preserve"> on acetamide-containing media</w:t>
      </w:r>
      <w:r w:rsidR="00632E29">
        <w:rPr>
          <w:rFonts w:cs="Arial"/>
          <w:color w:val="000000" w:themeColor="text1"/>
        </w:rPr>
        <w:t>.</w:t>
      </w:r>
      <w:r w:rsidRPr="00E82119">
        <w:rPr>
          <w:rFonts w:cs="Arial"/>
          <w:color w:val="000000" w:themeColor="text1"/>
        </w:rPr>
        <w:t xml:space="preserve"> In addition, this cassette also contained several short recombination site cloning remnants.</w:t>
      </w:r>
    </w:p>
    <w:p w14:paraId="6AEDD932" w14:textId="77777777" w:rsidR="00066184" w:rsidRDefault="00066184" w:rsidP="00066184">
      <w:pPr>
        <w:pStyle w:val="Heading4"/>
      </w:pPr>
      <w:r>
        <w:t>3.3.2</w:t>
      </w:r>
      <w:r>
        <w:tab/>
        <w:t>Characterisation of inserted DNA</w:t>
      </w:r>
    </w:p>
    <w:p w14:paraId="41B23219" w14:textId="249595F6" w:rsidR="00066184" w:rsidRPr="004F77DA" w:rsidRDefault="00066184" w:rsidP="00066184">
      <w:pPr>
        <w:autoSpaceDE w:val="0"/>
        <w:autoSpaceDN w:val="0"/>
        <w:adjustRightInd w:val="0"/>
        <w:rPr>
          <w:rFonts w:cs="Arial"/>
          <w:color w:val="000000" w:themeColor="text1"/>
        </w:rPr>
      </w:pPr>
      <w:r w:rsidRPr="004F77DA">
        <w:rPr>
          <w:rFonts w:cs="Arial"/>
          <w:color w:val="000000" w:themeColor="text1"/>
        </w:rPr>
        <w:t>At all stages of the transformations, Southern blot analysis with appropriate controls (and following restriction enzyme digestion and polymerase chain reaction) was undertaken to ensure no extraneous DNA sequences had been incorporated. At the final stage</w:t>
      </w:r>
      <w:r>
        <w:rPr>
          <w:rFonts w:cs="Arial"/>
          <w:color w:val="000000" w:themeColor="text1"/>
        </w:rPr>
        <w:t xml:space="preserve">, Southern </w:t>
      </w:r>
      <w:r w:rsidR="001C676E">
        <w:rPr>
          <w:rFonts w:cs="Arial"/>
          <w:color w:val="000000" w:themeColor="text1"/>
        </w:rPr>
        <w:t xml:space="preserve">blot </w:t>
      </w:r>
      <w:r>
        <w:rPr>
          <w:rFonts w:cs="Arial"/>
          <w:color w:val="000000" w:themeColor="text1"/>
        </w:rPr>
        <w:t xml:space="preserve">analysis (see </w:t>
      </w:r>
      <w:r w:rsidR="0063057C">
        <w:rPr>
          <w:rFonts w:cs="Arial"/>
          <w:color w:val="000000" w:themeColor="text1"/>
        </w:rPr>
        <w:t>section 3.3.3</w:t>
      </w:r>
      <w:r>
        <w:rPr>
          <w:rFonts w:cs="Arial"/>
          <w:color w:val="000000" w:themeColor="text1"/>
        </w:rPr>
        <w:t>) indicated</w:t>
      </w:r>
      <w:r w:rsidRPr="004F77DA">
        <w:rPr>
          <w:rFonts w:cs="Arial"/>
          <w:color w:val="000000" w:themeColor="text1"/>
        </w:rPr>
        <w:t xml:space="preserve"> that </w:t>
      </w:r>
      <w:r>
        <w:rPr>
          <w:rFonts w:cs="Arial"/>
          <w:color w:val="000000" w:themeColor="text1"/>
        </w:rPr>
        <w:t>in NSP24</w:t>
      </w:r>
      <w:r w:rsidR="001C676E">
        <w:rPr>
          <w:rFonts w:cs="Arial"/>
          <w:color w:val="000000" w:themeColor="text1"/>
        </w:rPr>
        <w:t>:</w:t>
      </w:r>
      <w:r w:rsidRPr="004F77DA">
        <w:rPr>
          <w:rFonts w:cs="Arial"/>
          <w:color w:val="000000" w:themeColor="text1"/>
        </w:rPr>
        <w:t xml:space="preserve"> </w:t>
      </w:r>
      <w:r>
        <w:rPr>
          <w:rFonts w:cs="Arial"/>
          <w:color w:val="000000" w:themeColor="text1"/>
        </w:rPr>
        <w:t xml:space="preserve">a) </w:t>
      </w:r>
      <w:r w:rsidRPr="004F77DA">
        <w:rPr>
          <w:rFonts w:cs="Arial"/>
          <w:color w:val="000000" w:themeColor="text1"/>
        </w:rPr>
        <w:t>no vecto</w:t>
      </w:r>
      <w:r w:rsidR="001C676E">
        <w:rPr>
          <w:rFonts w:cs="Arial"/>
          <w:color w:val="000000" w:themeColor="text1"/>
        </w:rPr>
        <w:t>r DNA was present;</w:t>
      </w:r>
      <w:r>
        <w:rPr>
          <w:rFonts w:cs="Arial"/>
          <w:color w:val="000000" w:themeColor="text1"/>
        </w:rPr>
        <w:t xml:space="preserve"> b) there was no rearrangement of the </w:t>
      </w:r>
      <w:r w:rsidRPr="00D47FFE">
        <w:rPr>
          <w:rFonts w:cs="Arial"/>
          <w:i/>
          <w:color w:val="000000" w:themeColor="text1"/>
        </w:rPr>
        <w:t>nsp24</w:t>
      </w:r>
      <w:r>
        <w:rPr>
          <w:rFonts w:cs="Arial"/>
          <w:color w:val="000000" w:themeColor="text1"/>
        </w:rPr>
        <w:t xml:space="preserve"> expression cassette</w:t>
      </w:r>
      <w:r w:rsidR="001C676E">
        <w:rPr>
          <w:rFonts w:cs="Arial"/>
          <w:color w:val="000000" w:themeColor="text1"/>
        </w:rPr>
        <w:t>;</w:t>
      </w:r>
      <w:r w:rsidRPr="004F77DA">
        <w:rPr>
          <w:rFonts w:cs="Arial"/>
          <w:color w:val="000000" w:themeColor="text1"/>
        </w:rPr>
        <w:t xml:space="preserve"> </w:t>
      </w:r>
      <w:r>
        <w:rPr>
          <w:rFonts w:cs="Arial"/>
          <w:color w:val="000000" w:themeColor="text1"/>
        </w:rPr>
        <w:t xml:space="preserve">and c) more than </w:t>
      </w:r>
      <w:r w:rsidRPr="004F77DA">
        <w:rPr>
          <w:rFonts w:cs="Arial"/>
          <w:color w:val="000000" w:themeColor="text1"/>
        </w:rPr>
        <w:t>o</w:t>
      </w:r>
      <w:r>
        <w:rPr>
          <w:rFonts w:cs="Arial"/>
          <w:color w:val="000000" w:themeColor="text1"/>
        </w:rPr>
        <w:t xml:space="preserve">ne intact copy of the </w:t>
      </w:r>
      <w:r w:rsidRPr="00E82119">
        <w:rPr>
          <w:rFonts w:cs="Arial"/>
          <w:i/>
          <w:color w:val="000000" w:themeColor="text1"/>
        </w:rPr>
        <w:t>nsp24</w:t>
      </w:r>
      <w:r>
        <w:rPr>
          <w:rFonts w:cs="Arial"/>
          <w:color w:val="000000" w:themeColor="text1"/>
        </w:rPr>
        <w:t xml:space="preserve"> gene had been integrated into the genome.</w:t>
      </w:r>
    </w:p>
    <w:p w14:paraId="6C38C850" w14:textId="77777777" w:rsidR="00066184" w:rsidRDefault="00066184" w:rsidP="00066184">
      <w:pPr>
        <w:pStyle w:val="Heading4"/>
      </w:pPr>
      <w:r>
        <w:t xml:space="preserve">3.3.3 </w:t>
      </w:r>
      <w:r>
        <w:tab/>
        <w:t>Genetic stability of the inserted gene</w:t>
      </w:r>
    </w:p>
    <w:p w14:paraId="5969A018" w14:textId="340854C6" w:rsidR="00066184" w:rsidRPr="00DD7012" w:rsidRDefault="00066184" w:rsidP="00066184">
      <w:pPr>
        <w:rPr>
          <w:rFonts w:cs="Arial"/>
          <w:color w:val="000000" w:themeColor="text1"/>
          <w:szCs w:val="22"/>
        </w:rPr>
      </w:pPr>
      <w:r w:rsidRPr="00490327">
        <w:rPr>
          <w:rFonts w:cs="Arial"/>
          <w:i/>
          <w:color w:val="000000" w:themeColor="text1"/>
        </w:rPr>
        <w:t>T</w:t>
      </w:r>
      <w:r w:rsidRPr="00DD7012">
        <w:rPr>
          <w:rFonts w:cs="Arial"/>
          <w:i/>
          <w:color w:val="000000" w:themeColor="text1"/>
          <w:szCs w:val="22"/>
        </w:rPr>
        <w:t>. reesei</w:t>
      </w:r>
      <w:r w:rsidRPr="00DD7012">
        <w:rPr>
          <w:rFonts w:cs="Arial"/>
          <w:color w:val="000000" w:themeColor="text1"/>
          <w:szCs w:val="22"/>
        </w:rPr>
        <w:t xml:space="preserve"> strains are widely used in biotechnological processes because of their known stability.</w:t>
      </w:r>
    </w:p>
    <w:p w14:paraId="442F9C73" w14:textId="77777777" w:rsidR="00066184" w:rsidRPr="00DD7012" w:rsidRDefault="00066184" w:rsidP="00066184">
      <w:pPr>
        <w:rPr>
          <w:rFonts w:cs="Arial"/>
          <w:color w:val="000000" w:themeColor="text1"/>
          <w:szCs w:val="22"/>
        </w:rPr>
      </w:pPr>
    </w:p>
    <w:bookmarkEnd w:id="65"/>
    <w:bookmarkEnd w:id="66"/>
    <w:p w14:paraId="7191B88C" w14:textId="77777777" w:rsidR="00066184" w:rsidRPr="00DD7012" w:rsidRDefault="00066184" w:rsidP="00066184">
      <w:pPr>
        <w:rPr>
          <w:rFonts w:cs="Arial"/>
          <w:iCs/>
          <w:szCs w:val="22"/>
        </w:rPr>
      </w:pPr>
      <w:r w:rsidRPr="00DD7012">
        <w:rPr>
          <w:rFonts w:cs="Arial"/>
          <w:iCs/>
          <w:szCs w:val="22"/>
        </w:rPr>
        <w:t>Broth samples were taken prior to and after 10-day fermentations (3 replicates) in 100 mL shake flasks mimicking commercial fermentation conditions. It was estimated the fermentations represented 63 cell doublings, which was more than twice the number that occur during large-scale commercial fermentation.</w:t>
      </w:r>
    </w:p>
    <w:p w14:paraId="7E61CBB7" w14:textId="77777777" w:rsidR="00066184" w:rsidRPr="00DD7012" w:rsidRDefault="00066184" w:rsidP="00066184">
      <w:pPr>
        <w:rPr>
          <w:rFonts w:cs="Arial"/>
          <w:iCs/>
          <w:szCs w:val="22"/>
        </w:rPr>
      </w:pPr>
    </w:p>
    <w:p w14:paraId="08D12B3D" w14:textId="58F34711" w:rsidR="00066184" w:rsidRPr="00DD7012" w:rsidRDefault="00066184" w:rsidP="00066184">
      <w:pPr>
        <w:widowControl/>
        <w:autoSpaceDE w:val="0"/>
        <w:autoSpaceDN w:val="0"/>
        <w:adjustRightInd w:val="0"/>
        <w:rPr>
          <w:rFonts w:eastAsiaTheme="minorHAnsi" w:cs="Arial"/>
          <w:szCs w:val="22"/>
          <w:lang w:bidi="ar-SA"/>
        </w:rPr>
      </w:pPr>
      <w:r w:rsidRPr="00DD7012">
        <w:rPr>
          <w:rFonts w:cs="Arial"/>
          <w:iCs/>
          <w:szCs w:val="22"/>
        </w:rPr>
        <w:t>Genomic DNA was isolated, restriction enzyme digested</w:t>
      </w:r>
      <w:r w:rsidR="00E348C6">
        <w:rPr>
          <w:rFonts w:cs="Arial"/>
          <w:iCs/>
          <w:szCs w:val="22"/>
        </w:rPr>
        <w:t xml:space="preserve"> </w:t>
      </w:r>
      <w:r w:rsidRPr="00DD7012">
        <w:rPr>
          <w:rFonts w:cs="Arial"/>
          <w:iCs/>
          <w:szCs w:val="22"/>
        </w:rPr>
        <w:t xml:space="preserve">and analysed by Southern blotting using a digoxigenin-labelled hybridisation probe comprising the entire </w:t>
      </w:r>
      <w:r w:rsidRPr="00DD7012">
        <w:rPr>
          <w:rFonts w:cs="Arial"/>
          <w:i/>
          <w:iCs/>
          <w:szCs w:val="22"/>
        </w:rPr>
        <w:t>nsp24</w:t>
      </w:r>
      <w:r w:rsidRPr="00DD7012">
        <w:rPr>
          <w:rFonts w:cs="Arial"/>
          <w:iCs/>
          <w:szCs w:val="22"/>
        </w:rPr>
        <w:t xml:space="preserve"> gene. </w:t>
      </w:r>
      <w:r w:rsidRPr="00DD7012">
        <w:rPr>
          <w:rFonts w:eastAsiaTheme="minorHAnsi" w:cs="Arial"/>
          <w:szCs w:val="22"/>
          <w:lang w:bidi="ar-SA"/>
        </w:rPr>
        <w:t xml:space="preserve">Any rearrangement in the inserted </w:t>
      </w:r>
      <w:r w:rsidRPr="00DD7012">
        <w:rPr>
          <w:rFonts w:eastAsiaTheme="minorHAnsi" w:cs="Arial"/>
          <w:i/>
          <w:szCs w:val="22"/>
          <w:lang w:bidi="ar-SA"/>
        </w:rPr>
        <w:t>nsp24</w:t>
      </w:r>
      <w:r w:rsidRPr="00DD7012">
        <w:rPr>
          <w:rFonts w:eastAsiaTheme="minorHAnsi" w:cs="Arial"/>
          <w:szCs w:val="22"/>
          <w:lang w:bidi="ar-SA"/>
        </w:rPr>
        <w:t xml:space="preserve"> expression cassette DNA would result in a change of the expected banding pattern. In particular, new bands would appear as a result of expression cassette integration at a new site in the genome creating new flanking DNA fragments.</w:t>
      </w:r>
    </w:p>
    <w:p w14:paraId="5B746B18" w14:textId="77777777" w:rsidR="00066184" w:rsidRPr="00DD7012" w:rsidRDefault="00066184" w:rsidP="00066184">
      <w:pPr>
        <w:widowControl/>
        <w:autoSpaceDE w:val="0"/>
        <w:autoSpaceDN w:val="0"/>
        <w:adjustRightInd w:val="0"/>
        <w:rPr>
          <w:rFonts w:eastAsiaTheme="minorHAnsi" w:cs="Arial"/>
          <w:szCs w:val="22"/>
          <w:lang w:bidi="ar-SA"/>
        </w:rPr>
      </w:pPr>
    </w:p>
    <w:p w14:paraId="1C3D70CE" w14:textId="77777777" w:rsidR="00066184" w:rsidRPr="00DD7012" w:rsidRDefault="00066184" w:rsidP="00066184">
      <w:pPr>
        <w:widowControl/>
        <w:autoSpaceDE w:val="0"/>
        <w:autoSpaceDN w:val="0"/>
        <w:adjustRightInd w:val="0"/>
        <w:rPr>
          <w:rFonts w:eastAsiaTheme="minorHAnsi" w:cs="Arial"/>
          <w:szCs w:val="22"/>
          <w:lang w:bidi="ar-SA"/>
        </w:rPr>
      </w:pPr>
      <w:r w:rsidRPr="00DD7012">
        <w:rPr>
          <w:rFonts w:eastAsiaTheme="minorHAnsi" w:cs="Arial"/>
          <w:szCs w:val="22"/>
          <w:lang w:bidi="ar-SA"/>
        </w:rPr>
        <w:t xml:space="preserve">No change in band pattern was observed between the genomic DNA samples extracted from shake flask culture before serial transfer culture and those extracted after 10 days of serial </w:t>
      </w:r>
      <w:r w:rsidRPr="00DD7012">
        <w:rPr>
          <w:rFonts w:eastAsiaTheme="minorHAnsi" w:cs="Arial"/>
          <w:szCs w:val="22"/>
          <w:lang w:bidi="ar-SA"/>
        </w:rPr>
        <w:lastRenderedPageBreak/>
        <w:t xml:space="preserve">shake flask culture. This indicates that there had been no insertion of the expression cassette at new sites in the </w:t>
      </w:r>
      <w:r w:rsidRPr="00DD7012">
        <w:rPr>
          <w:rFonts w:eastAsiaTheme="minorHAnsi" w:cs="Arial"/>
          <w:i/>
          <w:szCs w:val="22"/>
          <w:lang w:bidi="ar-SA"/>
        </w:rPr>
        <w:t>T. reesei</w:t>
      </w:r>
      <w:r w:rsidRPr="00DD7012">
        <w:rPr>
          <w:rFonts w:eastAsiaTheme="minorHAnsi" w:cs="Arial"/>
          <w:szCs w:val="22"/>
          <w:lang w:bidi="ar-SA"/>
        </w:rPr>
        <w:t xml:space="preserve"> genome during fermentation representative of or exceeding the number of cell doublings that occur at commercial scale.</w:t>
      </w:r>
    </w:p>
    <w:p w14:paraId="25D696AF" w14:textId="12EFF8C2" w:rsidR="00CA3849" w:rsidRDefault="00CA3849">
      <w:pPr>
        <w:pStyle w:val="Heading2"/>
      </w:pPr>
      <w:bookmarkStart w:id="67" w:name="_Toc471740086"/>
      <w:bookmarkStart w:id="68" w:name="_Toc505255641"/>
      <w:bookmarkStart w:id="69" w:name="_Toc499282447"/>
      <w:bookmarkStart w:id="70" w:name="_Toc533087521"/>
      <w:bookmarkStart w:id="71" w:name="_Toc534297214"/>
      <w:r w:rsidRPr="00DD6B6A">
        <w:t>3.</w:t>
      </w:r>
      <w:r>
        <w:t>4</w:t>
      </w:r>
      <w:r w:rsidR="001E6A7B">
        <w:tab/>
      </w:r>
      <w:r>
        <w:t xml:space="preserve">Safety of </w:t>
      </w:r>
      <w:bookmarkEnd w:id="67"/>
      <w:bookmarkEnd w:id="68"/>
      <w:bookmarkEnd w:id="69"/>
      <w:r w:rsidR="007E316A">
        <w:t>Aspergillopepsin I (AFP)</w:t>
      </w:r>
      <w:bookmarkEnd w:id="70"/>
      <w:bookmarkEnd w:id="71"/>
    </w:p>
    <w:p w14:paraId="1CC6BA13" w14:textId="61D2AB0D" w:rsidR="00C15A6C" w:rsidRDefault="00C15A6C" w:rsidP="00D15645">
      <w:pPr>
        <w:pStyle w:val="Heading3"/>
      </w:pPr>
      <w:bookmarkStart w:id="72" w:name="_Toc533087522"/>
      <w:bookmarkStart w:id="73" w:name="_Toc534297215"/>
      <w:r w:rsidRPr="00C15A6C">
        <w:t>3.4.1</w:t>
      </w:r>
      <w:r w:rsidR="0035149D">
        <w:tab/>
      </w:r>
      <w:r w:rsidRPr="00C15A6C">
        <w:t>History of safe use of the enzyme</w:t>
      </w:r>
      <w:bookmarkEnd w:id="72"/>
      <w:bookmarkEnd w:id="73"/>
    </w:p>
    <w:p w14:paraId="34241EA2" w14:textId="0C04942E" w:rsidR="00C15A6C" w:rsidRDefault="00D7283A" w:rsidP="001D22D2">
      <w:pPr>
        <w:rPr>
          <w:lang w:bidi="ar-SA"/>
        </w:rPr>
      </w:pPr>
      <w:r>
        <w:rPr>
          <w:lang w:bidi="ar-SA"/>
        </w:rPr>
        <w:t xml:space="preserve">The US FDA responded in September 2010 with no questions to a GRAS notification (GRN 000333) for the same enzyme (AFP) that is the subject of this application, synthesized from a closely related strain of </w:t>
      </w:r>
      <w:r w:rsidRPr="00D7283A">
        <w:rPr>
          <w:i/>
          <w:lang w:bidi="ar-SA"/>
        </w:rPr>
        <w:t>T. reesei</w:t>
      </w:r>
      <w:r>
        <w:rPr>
          <w:lang w:bidi="ar-SA"/>
        </w:rPr>
        <w:t>. AFP</w:t>
      </w:r>
      <w:r w:rsidR="00A1616A">
        <w:rPr>
          <w:lang w:bidi="ar-SA"/>
        </w:rPr>
        <w:t xml:space="preserve"> was approved for use in France and in Denmark in April 2017.</w:t>
      </w:r>
      <w:r w:rsidR="001939D3">
        <w:rPr>
          <w:lang w:bidi="ar-SA"/>
        </w:rPr>
        <w:t xml:space="preserve"> </w:t>
      </w:r>
      <w:r w:rsidR="008461F5">
        <w:rPr>
          <w:lang w:bidi="ar-SA"/>
        </w:rPr>
        <w:t xml:space="preserve">The enzyme has been used, largely for potable alcohol consumption, in Canada, Brazil, Argentina, Thailand and some European countries. </w:t>
      </w:r>
      <w:r w:rsidR="001939D3">
        <w:rPr>
          <w:lang w:bidi="ar-SA"/>
        </w:rPr>
        <w:t xml:space="preserve">No adverse consequences of the use of AFP have been reported. </w:t>
      </w:r>
    </w:p>
    <w:p w14:paraId="075169CE" w14:textId="77777777" w:rsidR="00ED1BD3" w:rsidRDefault="00ED1BD3" w:rsidP="00ED1BD3">
      <w:pPr>
        <w:rPr>
          <w:lang w:bidi="ar-SA"/>
        </w:rPr>
      </w:pPr>
      <w:bookmarkStart w:id="74" w:name="_Toc533087523"/>
    </w:p>
    <w:p w14:paraId="184CE25A" w14:textId="54A98B4A" w:rsidR="001939D3" w:rsidRDefault="001939D3" w:rsidP="00ED1BD3">
      <w:pPr>
        <w:rPr>
          <w:lang w:bidi="ar-SA"/>
        </w:rPr>
      </w:pPr>
      <w:r w:rsidRPr="00ED1BD3">
        <w:rPr>
          <w:lang w:bidi="ar-SA"/>
        </w:rPr>
        <w:t>AFP shares 51% identity with an aspergillopepsin that is approved in the Code, that of</w:t>
      </w:r>
      <w:r w:rsidRPr="001939D3">
        <w:rPr>
          <w:lang w:bidi="ar-SA"/>
        </w:rPr>
        <w:t xml:space="preserve"> </w:t>
      </w:r>
      <w:r w:rsidRPr="00ED1BD3">
        <w:rPr>
          <w:i/>
          <w:lang w:bidi="ar-SA"/>
        </w:rPr>
        <w:t>Aspergillus oryzae</w:t>
      </w:r>
      <w:r w:rsidRPr="00ED1BD3">
        <w:rPr>
          <w:lang w:bidi="ar-SA"/>
        </w:rPr>
        <w:t>.</w:t>
      </w:r>
      <w:bookmarkEnd w:id="74"/>
      <w:r w:rsidRPr="001939D3">
        <w:rPr>
          <w:lang w:bidi="ar-SA"/>
        </w:rPr>
        <w:t xml:space="preserve"> </w:t>
      </w:r>
    </w:p>
    <w:p w14:paraId="03B5F3E5" w14:textId="208471CD" w:rsidR="001939D3" w:rsidRPr="001939D3" w:rsidRDefault="001939D3" w:rsidP="001939D3">
      <w:pPr>
        <w:pStyle w:val="Heading3"/>
      </w:pPr>
      <w:bookmarkStart w:id="75" w:name="_Toc533087524"/>
      <w:bookmarkStart w:id="76" w:name="_Toc534297216"/>
      <w:r w:rsidRPr="001939D3">
        <w:t>3.4.</w:t>
      </w:r>
      <w:r>
        <w:t>2</w:t>
      </w:r>
      <w:r w:rsidRPr="001939D3">
        <w:tab/>
        <w:t>Bioinformatics concerning potential for toxicity</w:t>
      </w:r>
      <w:bookmarkEnd w:id="75"/>
      <w:bookmarkEnd w:id="76"/>
      <w:r w:rsidRPr="001939D3">
        <w:t xml:space="preserve"> </w:t>
      </w:r>
    </w:p>
    <w:p w14:paraId="15F51D3E" w14:textId="64374523" w:rsidR="00D7283A" w:rsidRPr="001939D3" w:rsidRDefault="003926FE" w:rsidP="001D22D2">
      <w:pPr>
        <w:rPr>
          <w:lang w:bidi="ar-SA"/>
        </w:rPr>
      </w:pPr>
      <w:r>
        <w:rPr>
          <w:lang w:bidi="ar-SA"/>
        </w:rPr>
        <w:t>Bioinformatic analyses</w:t>
      </w:r>
      <w:r w:rsidR="00A80E66" w:rsidRPr="00A80E66">
        <w:rPr>
          <w:lang w:bidi="ar-SA"/>
        </w:rPr>
        <w:t xml:space="preserve"> </w:t>
      </w:r>
      <w:r>
        <w:rPr>
          <w:lang w:bidi="ar-SA"/>
        </w:rPr>
        <w:t>for</w:t>
      </w:r>
      <w:r w:rsidR="00A80E66" w:rsidRPr="00A80E66">
        <w:rPr>
          <w:lang w:bidi="ar-SA"/>
        </w:rPr>
        <w:t xml:space="preserve"> toxin homology </w:t>
      </w:r>
      <w:r>
        <w:rPr>
          <w:lang w:bidi="ar-SA"/>
        </w:rPr>
        <w:t xml:space="preserve">of the amino acid sequence of the mature enzyme </w:t>
      </w:r>
      <w:r w:rsidR="00A80E66" w:rsidRPr="00A80E66">
        <w:rPr>
          <w:lang w:bidi="ar-SA"/>
        </w:rPr>
        <w:t>w</w:t>
      </w:r>
      <w:r>
        <w:rPr>
          <w:lang w:bidi="ar-SA"/>
        </w:rPr>
        <w:t xml:space="preserve">ere conducted. A BLAST search against the Uniprot annotated Protein Knowledge database with a threshold E-value of 0.1 yielded numerous hits of proteases, but none of the top 1000 hits was annotated as a toxin or a venom. A BLAST search was also conducted </w:t>
      </w:r>
      <w:r w:rsidR="002151FE">
        <w:rPr>
          <w:lang w:bidi="ar-SA"/>
        </w:rPr>
        <w:t>against the Uniprot animal toxin database. This yielded t</w:t>
      </w:r>
      <w:r w:rsidR="00FC0BC1">
        <w:rPr>
          <w:lang w:bidi="ar-SA"/>
        </w:rPr>
        <w:t xml:space="preserve">wo hits, but the E-value was not &lt; 0.1 or the identity &gt; 35% for either hit. </w:t>
      </w:r>
    </w:p>
    <w:p w14:paraId="4B319AB9" w14:textId="3E9CD4DF" w:rsidR="00C15A6C" w:rsidRDefault="001939D3" w:rsidP="00D15645">
      <w:pPr>
        <w:pStyle w:val="Heading3"/>
      </w:pPr>
      <w:bookmarkStart w:id="77" w:name="_Toc533087525"/>
      <w:bookmarkStart w:id="78" w:name="_Toc534297217"/>
      <w:r>
        <w:t>3.4.3</w:t>
      </w:r>
      <w:r w:rsidR="0035149D">
        <w:tab/>
      </w:r>
      <w:r w:rsidR="00C15A6C">
        <w:t>Toxicology studies</w:t>
      </w:r>
      <w:bookmarkEnd w:id="77"/>
      <w:bookmarkEnd w:id="78"/>
      <w:r w:rsidR="00C15A6C">
        <w:t xml:space="preserve"> </w:t>
      </w:r>
    </w:p>
    <w:p w14:paraId="02D6BB33" w14:textId="54B965EF" w:rsidR="00BF02F4" w:rsidRDefault="00040D6E" w:rsidP="00C15A6C">
      <w:pPr>
        <w:rPr>
          <w:lang w:val="en-US" w:bidi="ar-SA"/>
        </w:rPr>
      </w:pPr>
      <w:r>
        <w:rPr>
          <w:lang w:val="en-US" w:bidi="ar-SA"/>
        </w:rPr>
        <w:t>No animal toxicity studies were submitted for AFP.</w:t>
      </w:r>
      <w:r w:rsidR="00E348C6">
        <w:rPr>
          <w:lang w:val="en-US" w:bidi="ar-SA"/>
        </w:rPr>
        <w:t xml:space="preserve"> </w:t>
      </w:r>
    </w:p>
    <w:p w14:paraId="6961A517" w14:textId="573418E5" w:rsidR="0031462B" w:rsidRDefault="0031462B" w:rsidP="00C15A6C">
      <w:pPr>
        <w:rPr>
          <w:lang w:val="en-US" w:bidi="ar-SA"/>
        </w:rPr>
      </w:pPr>
    </w:p>
    <w:p w14:paraId="04ABF22B" w14:textId="7C5A03D0" w:rsidR="0031462B" w:rsidRDefault="0031462B" w:rsidP="00C15A6C">
      <w:pPr>
        <w:rPr>
          <w:i/>
          <w:lang w:val="en-US" w:bidi="ar-SA"/>
        </w:rPr>
      </w:pPr>
      <w:r w:rsidRPr="0031462B">
        <w:rPr>
          <w:i/>
          <w:lang w:val="en-US" w:bidi="ar-SA"/>
        </w:rPr>
        <w:t>Simulated gastric fluid digestion of AFP</w:t>
      </w:r>
      <w:r>
        <w:rPr>
          <w:i/>
          <w:lang w:val="en-US" w:bidi="ar-SA"/>
        </w:rPr>
        <w:t xml:space="preserve"> (Dupont 2018) Regulatory status: Non-GLP</w:t>
      </w:r>
    </w:p>
    <w:p w14:paraId="24512A31" w14:textId="2452CA93" w:rsidR="0031462B" w:rsidRDefault="0031462B" w:rsidP="00C15A6C">
      <w:pPr>
        <w:rPr>
          <w:i/>
          <w:lang w:val="en-US" w:bidi="ar-SA"/>
        </w:rPr>
      </w:pPr>
    </w:p>
    <w:p w14:paraId="25062DBB" w14:textId="1216FA09" w:rsidR="00273AB2" w:rsidRDefault="0031462B" w:rsidP="00C15A6C">
      <w:pPr>
        <w:rPr>
          <w:lang w:val="en-US" w:bidi="ar-SA"/>
        </w:rPr>
      </w:pPr>
      <w:r>
        <w:rPr>
          <w:lang w:val="en-US" w:bidi="ar-SA"/>
        </w:rPr>
        <w:t xml:space="preserve">The susceptibility of AFP to breakdown in simulated gastric fluid was investigated in this study. The test material was the same as the AFP which is the subject of this application. For the purpose of the test, AFP was prepared at a concentration of 5 </w:t>
      </w:r>
      <w:r>
        <w:rPr>
          <w:rFonts w:cs="Arial"/>
          <w:lang w:val="en-US" w:bidi="ar-SA"/>
        </w:rPr>
        <w:t>µ</w:t>
      </w:r>
      <w:r>
        <w:rPr>
          <w:lang w:val="en-US" w:bidi="ar-SA"/>
        </w:rPr>
        <w:t xml:space="preserve">g/mL in milliQ water. </w:t>
      </w:r>
      <w:r w:rsidR="005B3EDD">
        <w:rPr>
          <w:lang w:val="en-US" w:bidi="ar-SA"/>
        </w:rPr>
        <w:t xml:space="preserve">As a positive control protein, BSA was prepared at the same concentration. </w:t>
      </w:r>
      <w:r w:rsidR="00FA7583">
        <w:rPr>
          <w:lang w:val="en-US" w:bidi="ar-SA"/>
        </w:rPr>
        <w:t xml:space="preserve">Two batches of Gastric Control </w:t>
      </w:r>
      <w:r w:rsidR="00273AB2">
        <w:rPr>
          <w:lang w:val="en-US" w:bidi="ar-SA"/>
        </w:rPr>
        <w:t xml:space="preserve">(G-Con) </w:t>
      </w:r>
      <w:r w:rsidR="00FA7583">
        <w:rPr>
          <w:lang w:val="en-US" w:bidi="ar-SA"/>
        </w:rPr>
        <w:t xml:space="preserve">solution were prepared by mixing 200 mg NaCl and 0.7 mL concentrated HCl in 25 mL water, titrating to pH 1.2 with dilute HCl, and bringing to a final volume of 50 mL with water. </w:t>
      </w:r>
      <w:r w:rsidR="009265A3">
        <w:rPr>
          <w:lang w:val="en-US" w:bidi="ar-SA"/>
        </w:rPr>
        <w:t xml:space="preserve">Two batches of Simulated Gastric Fluid </w:t>
      </w:r>
      <w:r w:rsidR="00273AB2">
        <w:rPr>
          <w:lang w:val="en-US" w:bidi="ar-SA"/>
        </w:rPr>
        <w:t>(SGF) s</w:t>
      </w:r>
      <w:r w:rsidR="009265A3">
        <w:rPr>
          <w:lang w:val="en-US" w:bidi="ar-SA"/>
        </w:rPr>
        <w:t xml:space="preserve">olution were prepared </w:t>
      </w:r>
      <w:r w:rsidR="0061068F">
        <w:rPr>
          <w:lang w:val="en-US" w:bidi="ar-SA"/>
        </w:rPr>
        <w:t>by dissolving pepsin in G</w:t>
      </w:r>
      <w:r w:rsidR="00273AB2">
        <w:rPr>
          <w:lang w:val="en-US" w:bidi="ar-SA"/>
        </w:rPr>
        <w:t>-Con</w:t>
      </w:r>
      <w:r w:rsidR="0061068F">
        <w:rPr>
          <w:lang w:val="en-US" w:bidi="ar-SA"/>
        </w:rPr>
        <w:t xml:space="preserve"> to a concentration of 10,000 units/mL. </w:t>
      </w:r>
    </w:p>
    <w:p w14:paraId="5B5A7F59" w14:textId="1A306E42" w:rsidR="00273AB2" w:rsidRPr="00273AB2" w:rsidRDefault="00273AB2" w:rsidP="00C15A6C">
      <w:pPr>
        <w:rPr>
          <w:lang w:val="en-US" w:bidi="ar-SA"/>
        </w:rPr>
      </w:pPr>
      <w:r>
        <w:rPr>
          <w:lang w:val="en-US" w:bidi="ar-SA"/>
        </w:rPr>
        <w:t xml:space="preserve">The following incubations were conducted in duplicate: </w:t>
      </w:r>
    </w:p>
    <w:p w14:paraId="2EAC677D" w14:textId="4048DA99" w:rsidR="00273AB2" w:rsidRPr="00273AB2" w:rsidRDefault="00273AB2" w:rsidP="00273AB2">
      <w:pPr>
        <w:pStyle w:val="ListParagraph"/>
        <w:numPr>
          <w:ilvl w:val="0"/>
          <w:numId w:val="19"/>
        </w:numPr>
        <w:rPr>
          <w:lang w:val="en-US"/>
        </w:rPr>
      </w:pPr>
      <w:r w:rsidRPr="00273AB2">
        <w:rPr>
          <w:lang w:val="en-US"/>
        </w:rPr>
        <w:t>SGF, 0 min incubation</w:t>
      </w:r>
    </w:p>
    <w:p w14:paraId="45F6F261" w14:textId="2ED979BE" w:rsidR="00273AB2" w:rsidRDefault="00273AB2" w:rsidP="00273AB2">
      <w:pPr>
        <w:pStyle w:val="ListParagraph"/>
        <w:numPr>
          <w:ilvl w:val="0"/>
          <w:numId w:val="19"/>
        </w:numPr>
        <w:rPr>
          <w:lang w:val="en-US"/>
        </w:rPr>
      </w:pPr>
      <w:r w:rsidRPr="00273AB2">
        <w:rPr>
          <w:lang w:val="en-US"/>
        </w:rPr>
        <w:t xml:space="preserve">SGF, </w:t>
      </w:r>
      <w:r>
        <w:rPr>
          <w:lang w:val="en-US"/>
        </w:rPr>
        <w:t>30 min incubation</w:t>
      </w:r>
    </w:p>
    <w:p w14:paraId="68202C23" w14:textId="68E22D9D" w:rsidR="00273AB2" w:rsidRDefault="00273AB2" w:rsidP="00273AB2">
      <w:pPr>
        <w:pStyle w:val="ListParagraph"/>
        <w:numPr>
          <w:ilvl w:val="0"/>
          <w:numId w:val="19"/>
        </w:numPr>
        <w:rPr>
          <w:lang w:val="en-US"/>
        </w:rPr>
      </w:pPr>
      <w:r>
        <w:rPr>
          <w:lang w:val="en-US"/>
        </w:rPr>
        <w:t>AFP in SGF, 0 min incubation</w:t>
      </w:r>
    </w:p>
    <w:p w14:paraId="47FCC21E" w14:textId="70D76185" w:rsidR="00273AB2" w:rsidRDefault="00273AB2" w:rsidP="00273AB2">
      <w:pPr>
        <w:pStyle w:val="ListParagraph"/>
        <w:numPr>
          <w:ilvl w:val="0"/>
          <w:numId w:val="19"/>
        </w:numPr>
        <w:rPr>
          <w:lang w:val="en-US"/>
        </w:rPr>
      </w:pPr>
      <w:r>
        <w:rPr>
          <w:lang w:val="en-US"/>
        </w:rPr>
        <w:t>AFP in SGF, 30 min incubation</w:t>
      </w:r>
    </w:p>
    <w:p w14:paraId="11C5138B" w14:textId="3BB9838A" w:rsidR="00273AB2" w:rsidRDefault="00273AB2" w:rsidP="00273AB2">
      <w:pPr>
        <w:pStyle w:val="ListParagraph"/>
        <w:numPr>
          <w:ilvl w:val="0"/>
          <w:numId w:val="19"/>
        </w:numPr>
        <w:rPr>
          <w:lang w:val="en-US"/>
        </w:rPr>
      </w:pPr>
      <w:r>
        <w:rPr>
          <w:lang w:val="en-US"/>
        </w:rPr>
        <w:t>AFP in G-Con, 30 min incubation</w:t>
      </w:r>
    </w:p>
    <w:p w14:paraId="56F81D66" w14:textId="5768A60D" w:rsidR="00273AB2" w:rsidRDefault="00273AB2" w:rsidP="00273AB2">
      <w:pPr>
        <w:pStyle w:val="ListParagraph"/>
        <w:numPr>
          <w:ilvl w:val="0"/>
          <w:numId w:val="19"/>
        </w:numPr>
        <w:rPr>
          <w:lang w:val="en-US"/>
        </w:rPr>
      </w:pPr>
      <w:r>
        <w:rPr>
          <w:lang w:val="en-US"/>
        </w:rPr>
        <w:t>BSA in SGF, 0 min incubation</w:t>
      </w:r>
    </w:p>
    <w:p w14:paraId="64B72ECA" w14:textId="3FB9D6F9" w:rsidR="00273AB2" w:rsidRDefault="00273AB2" w:rsidP="00273AB2">
      <w:pPr>
        <w:pStyle w:val="ListParagraph"/>
        <w:numPr>
          <w:ilvl w:val="0"/>
          <w:numId w:val="19"/>
        </w:numPr>
        <w:rPr>
          <w:lang w:val="en-US"/>
        </w:rPr>
      </w:pPr>
      <w:r>
        <w:rPr>
          <w:lang w:val="en-US"/>
        </w:rPr>
        <w:t>BSA in SGF, 30 min incubation</w:t>
      </w:r>
    </w:p>
    <w:p w14:paraId="5778F58F" w14:textId="5D0E88FF" w:rsidR="00273AB2" w:rsidRDefault="00273AB2" w:rsidP="00273AB2">
      <w:pPr>
        <w:pStyle w:val="ListParagraph"/>
        <w:numPr>
          <w:ilvl w:val="0"/>
          <w:numId w:val="19"/>
        </w:numPr>
        <w:rPr>
          <w:lang w:val="en-US"/>
        </w:rPr>
      </w:pPr>
      <w:r>
        <w:rPr>
          <w:lang w:val="en-US"/>
        </w:rPr>
        <w:t>BSA in G-Con, 30 min incubation</w:t>
      </w:r>
    </w:p>
    <w:p w14:paraId="11AA99BF" w14:textId="26B3F88A" w:rsidR="00273AB2" w:rsidRDefault="00273AB2" w:rsidP="00273AB2">
      <w:pPr>
        <w:rPr>
          <w:lang w:val="en-US" w:bidi="ar-SA"/>
        </w:rPr>
      </w:pPr>
      <w:r>
        <w:rPr>
          <w:lang w:val="en-US" w:bidi="ar-SA"/>
        </w:rPr>
        <w:t>All incubations were carried out at 37</w:t>
      </w:r>
      <w:r>
        <w:rPr>
          <w:rFonts w:cs="Arial"/>
          <w:lang w:val="en-US" w:bidi="ar-SA"/>
        </w:rPr>
        <w:t>°</w:t>
      </w:r>
      <w:r>
        <w:rPr>
          <w:lang w:val="en-US" w:bidi="ar-SA"/>
        </w:rPr>
        <w:t>C. At the end of incubation, reactions were stopped by the addition of stop solution, sample buffer and sample reducing agent, with mixing by vortex. Assay samples were heated to 99</w:t>
      </w:r>
      <w:r>
        <w:rPr>
          <w:rFonts w:cs="Arial"/>
          <w:lang w:val="en-US" w:bidi="ar-SA"/>
        </w:rPr>
        <w:t>°</w:t>
      </w:r>
      <w:r>
        <w:rPr>
          <w:lang w:val="en-US" w:bidi="ar-SA"/>
        </w:rPr>
        <w:t xml:space="preserve">C for 5 min and stored under refrigeration before being analysed by SDS-polyacrylamide gel electrophoresis (SDS-PAGE) against protein </w:t>
      </w:r>
      <w:r>
        <w:rPr>
          <w:lang w:val="en-US" w:bidi="ar-SA"/>
        </w:rPr>
        <w:lastRenderedPageBreak/>
        <w:t xml:space="preserve">standard markers. </w:t>
      </w:r>
    </w:p>
    <w:p w14:paraId="61528AEA" w14:textId="3EF41386" w:rsidR="00273AB2" w:rsidRDefault="00273AB2" w:rsidP="00273AB2">
      <w:pPr>
        <w:rPr>
          <w:lang w:val="en-US" w:bidi="ar-SA"/>
        </w:rPr>
      </w:pPr>
    </w:p>
    <w:p w14:paraId="349DD080" w14:textId="66B6886A" w:rsidR="00273AB2" w:rsidRDefault="00273AB2" w:rsidP="00273AB2">
      <w:pPr>
        <w:rPr>
          <w:lang w:val="en-US" w:bidi="ar-SA"/>
        </w:rPr>
      </w:pPr>
      <w:r>
        <w:rPr>
          <w:lang w:val="en-US" w:bidi="ar-SA"/>
        </w:rPr>
        <w:t xml:space="preserve">SGF control assays showed protein bands at approximately 38 kDa, confirming the stability of pepsin during the incubation. </w:t>
      </w:r>
      <w:r w:rsidR="00D93A60">
        <w:rPr>
          <w:lang w:val="en-US" w:bidi="ar-SA"/>
        </w:rPr>
        <w:t>BSA was intact in SGF at 0 min but completely digested, and degraded to &lt;6 kDa, after 30 min incubation. Similarly, AFP was present at 0 min but completely digested, and degraded to &lt;6 kDa</w:t>
      </w:r>
      <w:r w:rsidR="00A539A7">
        <w:rPr>
          <w:lang w:val="en-US" w:bidi="ar-SA"/>
        </w:rPr>
        <w:t xml:space="preserve"> </w:t>
      </w:r>
      <w:r w:rsidR="00160B70">
        <w:rPr>
          <w:lang w:val="en-US" w:bidi="ar-SA"/>
        </w:rPr>
        <w:t>(</w:t>
      </w:r>
      <w:r w:rsidR="00A539A7">
        <w:rPr>
          <w:lang w:val="en-US" w:bidi="ar-SA"/>
        </w:rPr>
        <w:t>the smallest marker of molecular weight</w:t>
      </w:r>
      <w:r w:rsidR="00160B70">
        <w:rPr>
          <w:lang w:val="en-US" w:bidi="ar-SA"/>
        </w:rPr>
        <w:t>)</w:t>
      </w:r>
      <w:r w:rsidR="00A539A7">
        <w:rPr>
          <w:lang w:val="en-US" w:bidi="ar-SA"/>
        </w:rPr>
        <w:t xml:space="preserve"> used</w:t>
      </w:r>
      <w:r w:rsidR="00D93A60">
        <w:rPr>
          <w:lang w:val="en-US" w:bidi="ar-SA"/>
        </w:rPr>
        <w:t xml:space="preserve">, after 30 min incubation. AFP also showed some degradation after 30 min incubation in G-Con, despite the absence of pepsin. It was considered that this could be due to heat. </w:t>
      </w:r>
      <w:r w:rsidR="007E04C4">
        <w:rPr>
          <w:lang w:val="en-US" w:bidi="ar-SA"/>
        </w:rPr>
        <w:t xml:space="preserve">It was concluded that AFP is </w:t>
      </w:r>
      <w:r w:rsidR="00A539A7">
        <w:rPr>
          <w:lang w:val="en-US" w:bidi="ar-SA"/>
        </w:rPr>
        <w:t xml:space="preserve">susceptible to digestion </w:t>
      </w:r>
      <w:r w:rsidR="007E04C4">
        <w:rPr>
          <w:lang w:val="en-US" w:bidi="ar-SA"/>
        </w:rPr>
        <w:t>in SGF.</w:t>
      </w:r>
    </w:p>
    <w:p w14:paraId="16DC0996" w14:textId="4CA96491" w:rsidR="00C15A6C" w:rsidRDefault="00C15A6C" w:rsidP="00D15645">
      <w:pPr>
        <w:pStyle w:val="Heading3"/>
      </w:pPr>
      <w:bookmarkStart w:id="79" w:name="_Toc533087526"/>
      <w:bookmarkStart w:id="80" w:name="_Toc534297218"/>
      <w:r>
        <w:t>3.4.</w:t>
      </w:r>
      <w:r w:rsidR="001939D3">
        <w:t>4</w:t>
      </w:r>
      <w:r w:rsidR="0035149D">
        <w:tab/>
      </w:r>
      <w:r>
        <w:t>Genotoxicity assays</w:t>
      </w:r>
      <w:bookmarkEnd w:id="79"/>
      <w:bookmarkEnd w:id="80"/>
    </w:p>
    <w:p w14:paraId="24EF004C" w14:textId="6327E6DC" w:rsidR="004B63D9" w:rsidRDefault="006B348D" w:rsidP="00AA78CC">
      <w:pPr>
        <w:rPr>
          <w:lang w:val="en-US" w:bidi="ar-SA"/>
        </w:rPr>
      </w:pPr>
      <w:r>
        <w:rPr>
          <w:lang w:val="en-US" w:bidi="ar-SA"/>
        </w:rPr>
        <w:t xml:space="preserve">No data on genotoxicity of AFP were submitted. </w:t>
      </w:r>
    </w:p>
    <w:p w14:paraId="382E8460" w14:textId="5280EF85" w:rsidR="00C15A6C" w:rsidRDefault="00C15A6C" w:rsidP="00D15645">
      <w:pPr>
        <w:pStyle w:val="Heading3"/>
      </w:pPr>
      <w:bookmarkStart w:id="81" w:name="_Toc533087527"/>
      <w:bookmarkStart w:id="82" w:name="_Toc534297219"/>
      <w:r>
        <w:t>3.4.5</w:t>
      </w:r>
      <w:r w:rsidR="0035149D">
        <w:tab/>
      </w:r>
      <w:r w:rsidR="00940FC8">
        <w:t>P</w:t>
      </w:r>
      <w:r>
        <w:t>otential for allergenicity</w:t>
      </w:r>
      <w:bookmarkEnd w:id="81"/>
      <w:bookmarkEnd w:id="82"/>
      <w:r>
        <w:t xml:space="preserve"> </w:t>
      </w:r>
    </w:p>
    <w:p w14:paraId="1A1C4798" w14:textId="144700B1" w:rsidR="00940FC8" w:rsidRDefault="00940FC8" w:rsidP="005E150C">
      <w:pPr>
        <w:rPr>
          <w:lang w:bidi="ar-SA"/>
        </w:rPr>
      </w:pPr>
      <w:r>
        <w:rPr>
          <w:lang w:bidi="ar-SA"/>
        </w:rPr>
        <w:t xml:space="preserve">An 80 amino acid sliding window search of the </w:t>
      </w:r>
      <w:r w:rsidR="00EF73A6">
        <w:rPr>
          <w:lang w:bidi="ar-SA"/>
        </w:rPr>
        <w:t xml:space="preserve">Food Allergy Research and Resource Program (FARRP) AllergenOnline database resulted in three hits. AFP showed significant homology to </w:t>
      </w:r>
      <w:r w:rsidR="008B6B30">
        <w:rPr>
          <w:lang w:bidi="ar-SA"/>
        </w:rPr>
        <w:t>Aspergillopepsin I</w:t>
      </w:r>
      <w:r w:rsidR="00EF73A6">
        <w:rPr>
          <w:lang w:bidi="ar-SA"/>
        </w:rPr>
        <w:t xml:space="preserve"> from </w:t>
      </w:r>
      <w:r w:rsidR="00EF73A6" w:rsidRPr="00EF73A6">
        <w:rPr>
          <w:i/>
          <w:lang w:bidi="ar-SA"/>
        </w:rPr>
        <w:t>Aspergillus fumigatus</w:t>
      </w:r>
      <w:r w:rsidR="00EF73A6">
        <w:rPr>
          <w:lang w:bidi="ar-SA"/>
        </w:rPr>
        <w:t xml:space="preserve">, </w:t>
      </w:r>
      <w:r w:rsidR="0074107C">
        <w:rPr>
          <w:lang w:bidi="ar-SA"/>
        </w:rPr>
        <w:t>with a maximum identity of 63.79%, and an E score of 1.4 x 10</w:t>
      </w:r>
      <w:r w:rsidR="0074107C" w:rsidRPr="0074107C">
        <w:rPr>
          <w:vertAlign w:val="superscript"/>
          <w:lang w:bidi="ar-SA"/>
        </w:rPr>
        <w:t>-70</w:t>
      </w:r>
      <w:r w:rsidR="0074107C">
        <w:rPr>
          <w:lang w:bidi="ar-SA"/>
        </w:rPr>
        <w:t xml:space="preserve">. AFP shared 42.51% sequence identity with Pepsin A from </w:t>
      </w:r>
      <w:r w:rsidR="0074107C" w:rsidRPr="0074107C">
        <w:rPr>
          <w:i/>
          <w:lang w:bidi="ar-SA"/>
        </w:rPr>
        <w:t>Sus scrofa</w:t>
      </w:r>
      <w:r w:rsidR="0074107C">
        <w:rPr>
          <w:lang w:bidi="ar-SA"/>
        </w:rPr>
        <w:t>, with an E score of 4.3 x 10</w:t>
      </w:r>
      <w:r w:rsidR="0074107C" w:rsidRPr="0074107C">
        <w:rPr>
          <w:vertAlign w:val="superscript"/>
          <w:lang w:bidi="ar-SA"/>
        </w:rPr>
        <w:t>-20</w:t>
      </w:r>
      <w:r w:rsidR="0074107C">
        <w:rPr>
          <w:lang w:bidi="ar-SA"/>
        </w:rPr>
        <w:t xml:space="preserve">, and shared 40.50% with endopeptidase from </w:t>
      </w:r>
      <w:r w:rsidR="0074107C" w:rsidRPr="0074107C">
        <w:rPr>
          <w:i/>
          <w:lang w:bidi="ar-SA"/>
        </w:rPr>
        <w:t>Rhizopus oryzae</w:t>
      </w:r>
      <w:r w:rsidR="0074107C">
        <w:rPr>
          <w:lang w:bidi="ar-SA"/>
        </w:rPr>
        <w:t>, with an E score of 1.1 x 10</w:t>
      </w:r>
      <w:r w:rsidR="0074107C" w:rsidRPr="0074107C">
        <w:rPr>
          <w:vertAlign w:val="superscript"/>
          <w:lang w:bidi="ar-SA"/>
        </w:rPr>
        <w:t>-20</w:t>
      </w:r>
      <w:r w:rsidR="0074107C">
        <w:rPr>
          <w:lang w:bidi="ar-SA"/>
        </w:rPr>
        <w:t>.</w:t>
      </w:r>
      <w:r w:rsidR="009A0756">
        <w:rPr>
          <w:lang w:bidi="ar-SA"/>
        </w:rPr>
        <w:t xml:space="preserve"> These values indicate potential for cross-reactivity. </w:t>
      </w:r>
      <w:r w:rsidR="00211FF1">
        <w:rPr>
          <w:lang w:bidi="ar-SA"/>
        </w:rPr>
        <w:t xml:space="preserve">A literature search located references to allergy to endopeptidase from </w:t>
      </w:r>
      <w:r w:rsidR="00211FF1" w:rsidRPr="00211FF1">
        <w:rPr>
          <w:i/>
          <w:lang w:bidi="ar-SA"/>
        </w:rPr>
        <w:t>Rhizopus oryzae</w:t>
      </w:r>
      <w:r w:rsidR="00211FF1">
        <w:rPr>
          <w:lang w:bidi="ar-SA"/>
        </w:rPr>
        <w:t xml:space="preserve"> </w:t>
      </w:r>
      <w:r w:rsidR="001401AA">
        <w:rPr>
          <w:lang w:bidi="ar-SA"/>
        </w:rPr>
        <w:t>as</w:t>
      </w:r>
      <w:r w:rsidR="00211FF1">
        <w:rPr>
          <w:lang w:bidi="ar-SA"/>
        </w:rPr>
        <w:t xml:space="preserve"> a respiratory allergen but </w:t>
      </w:r>
      <w:r w:rsidR="001401AA">
        <w:rPr>
          <w:lang w:bidi="ar-SA"/>
        </w:rPr>
        <w:t>not a food allergen</w:t>
      </w:r>
      <w:r w:rsidR="00211FF1">
        <w:rPr>
          <w:lang w:bidi="ar-SA"/>
        </w:rPr>
        <w:t xml:space="preserve">. </w:t>
      </w:r>
      <w:r w:rsidR="001401AA">
        <w:rPr>
          <w:lang w:bidi="ar-SA"/>
        </w:rPr>
        <w:t>T</w:t>
      </w:r>
      <w:r w:rsidR="00C60DB4">
        <w:rPr>
          <w:lang w:bidi="ar-SA"/>
        </w:rPr>
        <w:t xml:space="preserve">he </w:t>
      </w:r>
      <w:r w:rsidR="00C60DB4" w:rsidRPr="00C60DB4">
        <w:rPr>
          <w:lang w:bidi="ar-SA"/>
        </w:rPr>
        <w:t>risk</w:t>
      </w:r>
      <w:r w:rsidR="00C60DB4">
        <w:rPr>
          <w:lang w:bidi="ar-SA"/>
        </w:rPr>
        <w:t xml:space="preserve"> of food allergy</w:t>
      </w:r>
      <w:r w:rsidR="00C60DB4" w:rsidRPr="00C60DB4">
        <w:rPr>
          <w:lang w:bidi="ar-SA"/>
        </w:rPr>
        <w:t xml:space="preserve"> associated with cross-reactivity </w:t>
      </w:r>
      <w:r w:rsidR="00874633">
        <w:rPr>
          <w:lang w:bidi="ar-SA"/>
        </w:rPr>
        <w:t xml:space="preserve">between </w:t>
      </w:r>
      <w:r w:rsidR="00C60DB4">
        <w:rPr>
          <w:lang w:bidi="ar-SA"/>
        </w:rPr>
        <w:t>a food</w:t>
      </w:r>
      <w:r w:rsidR="00C60DB4" w:rsidRPr="00C60DB4">
        <w:rPr>
          <w:lang w:bidi="ar-SA"/>
        </w:rPr>
        <w:t xml:space="preserve"> enzyme </w:t>
      </w:r>
      <w:r w:rsidR="001401AA">
        <w:rPr>
          <w:lang w:bidi="ar-SA"/>
        </w:rPr>
        <w:t xml:space="preserve">processing aid </w:t>
      </w:r>
      <w:r w:rsidR="00874633">
        <w:rPr>
          <w:lang w:bidi="ar-SA"/>
        </w:rPr>
        <w:t>and</w:t>
      </w:r>
      <w:r w:rsidR="00C60DB4" w:rsidRPr="00C60DB4">
        <w:rPr>
          <w:lang w:bidi="ar-SA"/>
        </w:rPr>
        <w:t xml:space="preserve"> respiratory or dermal allergens </w:t>
      </w:r>
      <w:r w:rsidR="00C60DB4">
        <w:rPr>
          <w:lang w:bidi="ar-SA"/>
        </w:rPr>
        <w:t xml:space="preserve">is considered to be </w:t>
      </w:r>
      <w:r w:rsidR="00C60DB4" w:rsidRPr="00C60DB4">
        <w:rPr>
          <w:lang w:bidi="ar-SA"/>
        </w:rPr>
        <w:t>very low</w:t>
      </w:r>
      <w:r w:rsidR="0044565B">
        <w:rPr>
          <w:lang w:bidi="ar-SA"/>
        </w:rPr>
        <w:t xml:space="preserve"> (</w:t>
      </w:r>
      <w:r w:rsidR="00D20375">
        <w:rPr>
          <w:lang w:bidi="ar-SA"/>
        </w:rPr>
        <w:t xml:space="preserve">Dauvrin </w:t>
      </w:r>
      <w:r w:rsidR="005C0C87" w:rsidRPr="00512606">
        <w:rPr>
          <w:rFonts w:eastAsia="TimesNewRomanPSMT" w:cs="Arial"/>
          <w:i/>
          <w:iCs/>
          <w:szCs w:val="22"/>
          <w:lang w:bidi="ar-SA"/>
        </w:rPr>
        <w:t>et al.</w:t>
      </w:r>
      <w:r w:rsidR="005C0C87" w:rsidRPr="00512606">
        <w:rPr>
          <w:rFonts w:eastAsia="TimesNewRomanPSMT" w:cs="Arial"/>
          <w:i/>
          <w:szCs w:val="22"/>
          <w:lang w:bidi="ar-SA"/>
        </w:rPr>
        <w:t>,</w:t>
      </w:r>
      <w:r w:rsidR="00D20375">
        <w:rPr>
          <w:lang w:bidi="ar-SA"/>
        </w:rPr>
        <w:t xml:space="preserve"> 1998; Bindslev-Jensen </w:t>
      </w:r>
      <w:r w:rsidR="005C0C87" w:rsidRPr="00512606">
        <w:rPr>
          <w:rFonts w:eastAsia="TimesNewRomanPSMT" w:cs="Arial"/>
          <w:i/>
          <w:iCs/>
          <w:szCs w:val="22"/>
          <w:lang w:bidi="ar-SA"/>
        </w:rPr>
        <w:t>et al.</w:t>
      </w:r>
      <w:r w:rsidR="005C0C87" w:rsidRPr="00512606">
        <w:rPr>
          <w:rFonts w:eastAsia="TimesNewRomanPSMT" w:cs="Arial"/>
          <w:i/>
          <w:szCs w:val="22"/>
          <w:lang w:bidi="ar-SA"/>
        </w:rPr>
        <w:t>,</w:t>
      </w:r>
      <w:r w:rsidR="00D20375">
        <w:rPr>
          <w:lang w:bidi="ar-SA"/>
        </w:rPr>
        <w:t xml:space="preserve"> 2006). </w:t>
      </w:r>
    </w:p>
    <w:p w14:paraId="251095D5" w14:textId="77777777" w:rsidR="00940FC8" w:rsidRDefault="00940FC8" w:rsidP="005E150C">
      <w:pPr>
        <w:rPr>
          <w:lang w:bidi="ar-SA"/>
        </w:rPr>
      </w:pPr>
    </w:p>
    <w:p w14:paraId="4D9C4F84" w14:textId="662501DE" w:rsidR="006C2320" w:rsidRPr="005E150C" w:rsidRDefault="00940FC8" w:rsidP="005E150C">
      <w:pPr>
        <w:rPr>
          <w:lang w:bidi="ar-SA"/>
        </w:rPr>
      </w:pPr>
      <w:r>
        <w:rPr>
          <w:lang w:bidi="ar-SA"/>
        </w:rPr>
        <w:t xml:space="preserve">No major allergens are used </w:t>
      </w:r>
      <w:r w:rsidR="007E24F8">
        <w:rPr>
          <w:lang w:bidi="ar-SA"/>
        </w:rPr>
        <w:t xml:space="preserve">directly </w:t>
      </w:r>
      <w:r>
        <w:rPr>
          <w:lang w:bidi="ar-SA"/>
        </w:rPr>
        <w:t>in the preparation of the enzyme</w:t>
      </w:r>
      <w:r w:rsidR="007E24F8">
        <w:rPr>
          <w:lang w:bidi="ar-SA"/>
        </w:rPr>
        <w:t>, although glucose used in the fermentation medium</w:t>
      </w:r>
      <w:r w:rsidR="00A65369">
        <w:rPr>
          <w:lang w:bidi="ar-SA"/>
        </w:rPr>
        <w:t xml:space="preserve"> is derived from wheat</w:t>
      </w:r>
      <w:r>
        <w:rPr>
          <w:lang w:bidi="ar-SA"/>
        </w:rPr>
        <w:t>.</w:t>
      </w:r>
      <w:r w:rsidR="007E24F8">
        <w:rPr>
          <w:lang w:bidi="ar-SA"/>
        </w:rPr>
        <w:t xml:space="preserve"> The possibility that traces of wheat </w:t>
      </w:r>
      <w:r w:rsidR="00A65369">
        <w:rPr>
          <w:lang w:bidi="ar-SA"/>
        </w:rPr>
        <w:t xml:space="preserve">protein </w:t>
      </w:r>
      <w:r w:rsidR="007E24F8">
        <w:rPr>
          <w:lang w:bidi="ar-SA"/>
        </w:rPr>
        <w:t xml:space="preserve">may be present in the final preparation cannot be excluded. </w:t>
      </w:r>
    </w:p>
    <w:p w14:paraId="50E61499" w14:textId="7C047433" w:rsidR="00C15A6C" w:rsidRDefault="00C15A6C" w:rsidP="00D15645">
      <w:pPr>
        <w:pStyle w:val="Heading3"/>
      </w:pPr>
      <w:bookmarkStart w:id="83" w:name="_Toc533087528"/>
      <w:bookmarkStart w:id="84" w:name="_Toc534297220"/>
      <w:r>
        <w:t>3.4.6</w:t>
      </w:r>
      <w:r w:rsidR="0035149D">
        <w:tab/>
      </w:r>
      <w:r>
        <w:t>Approvals by other regulatory agencies</w:t>
      </w:r>
      <w:bookmarkEnd w:id="83"/>
      <w:bookmarkEnd w:id="84"/>
    </w:p>
    <w:p w14:paraId="422056D4" w14:textId="09723164" w:rsidR="00A30707" w:rsidRDefault="007B5BA2" w:rsidP="007159D8">
      <w:pPr>
        <w:autoSpaceDE w:val="0"/>
        <w:autoSpaceDN w:val="0"/>
        <w:adjustRightInd w:val="0"/>
        <w:rPr>
          <w:rFonts w:cs="Arial"/>
        </w:rPr>
      </w:pPr>
      <w:r>
        <w:rPr>
          <w:rFonts w:cs="Arial"/>
        </w:rPr>
        <w:t>This information has been presented in subsection 3.4.1</w:t>
      </w:r>
      <w:r w:rsidR="00A90024">
        <w:rPr>
          <w:rFonts w:cs="Arial"/>
        </w:rPr>
        <w:t>.</w:t>
      </w:r>
    </w:p>
    <w:p w14:paraId="42ED36EE" w14:textId="012B7B16" w:rsidR="00AF0509" w:rsidRDefault="00AF0509" w:rsidP="00D8467D">
      <w:pPr>
        <w:pStyle w:val="Heading2"/>
      </w:pPr>
      <w:bookmarkStart w:id="85" w:name="_Toc533087529"/>
      <w:bookmarkStart w:id="86" w:name="_Toc534297221"/>
      <w:bookmarkStart w:id="87" w:name="_Toc501699836"/>
      <w:r>
        <w:t>4</w:t>
      </w:r>
      <w:r w:rsidR="00BD59CB">
        <w:tab/>
      </w:r>
      <w:r>
        <w:t>Discussion</w:t>
      </w:r>
      <w:bookmarkEnd w:id="85"/>
      <w:bookmarkEnd w:id="86"/>
    </w:p>
    <w:p w14:paraId="03770D2B" w14:textId="374FF77E" w:rsidR="003646AE" w:rsidRPr="003646AE" w:rsidRDefault="00FD5B37" w:rsidP="003646AE">
      <w:r w:rsidRPr="00FD5B37">
        <w:t xml:space="preserve">There are no public health and safety concerns for the general population associated with the use of </w:t>
      </w:r>
      <w:r w:rsidR="003646AE" w:rsidRPr="003646AE">
        <w:t>AFP</w:t>
      </w:r>
      <w:r>
        <w:t xml:space="preserve"> derived from</w:t>
      </w:r>
      <w:r w:rsidR="003646AE" w:rsidRPr="003646AE">
        <w:t xml:space="preserve"> </w:t>
      </w:r>
      <w:r w:rsidRPr="003962EB">
        <w:rPr>
          <w:i/>
        </w:rPr>
        <w:t>T. reesei</w:t>
      </w:r>
      <w:r w:rsidRPr="00FD5B37">
        <w:t xml:space="preserve"> overexpressing the gene encoding a native</w:t>
      </w:r>
      <w:r w:rsidR="00C27A72">
        <w:t xml:space="preserve"> </w:t>
      </w:r>
      <w:r w:rsidR="00C27A72" w:rsidRPr="003962EB">
        <w:rPr>
          <w:i/>
        </w:rPr>
        <w:t>T. reesei</w:t>
      </w:r>
      <w:r w:rsidR="00C27A72">
        <w:t>, Asper</w:t>
      </w:r>
      <w:r w:rsidR="00A83E03">
        <w:t>gillopepsin I.</w:t>
      </w:r>
    </w:p>
    <w:p w14:paraId="6D4D2DE7" w14:textId="50D3F5D5" w:rsidR="003646AE" w:rsidRDefault="003646AE" w:rsidP="000A77E3"/>
    <w:p w14:paraId="3C10CA85" w14:textId="1655719B" w:rsidR="007E04C4" w:rsidRDefault="00D5739B" w:rsidP="00A83E03">
      <w:r w:rsidRPr="00A83E03">
        <w:rPr>
          <w:i/>
        </w:rPr>
        <w:t>T. reesei</w:t>
      </w:r>
      <w:r>
        <w:t xml:space="preserve"> is </w:t>
      </w:r>
      <w:r w:rsidRPr="00D5739B">
        <w:t>not pathogenic</w:t>
      </w:r>
      <w:r>
        <w:t>, production strains are not toxigenic, and the fungus</w:t>
      </w:r>
      <w:r w:rsidRPr="00D5739B">
        <w:t xml:space="preserve"> has a long history of safe use in the production of enzyme processing aids</w:t>
      </w:r>
      <w:r>
        <w:t xml:space="preserve">, including several </w:t>
      </w:r>
      <w:r w:rsidRPr="00D5739B">
        <w:t>that are already permitted in the Code.</w:t>
      </w:r>
      <w:r w:rsidR="00A83E03">
        <w:t xml:space="preserve"> </w:t>
      </w:r>
      <w:r w:rsidR="003646AE">
        <w:t>N</w:t>
      </w:r>
      <w:r w:rsidR="007E04C4" w:rsidRPr="007E04C4">
        <w:t xml:space="preserve">o extraneous coding genetic material is carried across from the donor organism or through the large number of steps leading to the final genetic modification. The modification involving the insertion of the </w:t>
      </w:r>
      <w:r w:rsidR="008B6B30">
        <w:t>Aspergillopepsin I</w:t>
      </w:r>
      <w:r w:rsidR="007E04C4" w:rsidRPr="007E04C4">
        <w:t xml:space="preserve"> gene has been shown to be stably inherited.</w:t>
      </w:r>
    </w:p>
    <w:p w14:paraId="5CA095CC" w14:textId="77777777" w:rsidR="00C27A72" w:rsidRDefault="00C27A72" w:rsidP="00C27A72">
      <w:pPr>
        <w:pStyle w:val="ListParagraph"/>
      </w:pPr>
    </w:p>
    <w:p w14:paraId="71809EF0" w14:textId="53F97402" w:rsidR="00C27A72" w:rsidRDefault="00C27A72" w:rsidP="00A83E03">
      <w:r w:rsidRPr="00C27A72">
        <w:t xml:space="preserve">There is no evidence of adverse health effects associated with the use of AFP in countries in which it is already approved including </w:t>
      </w:r>
      <w:r w:rsidR="00A83E03">
        <w:t xml:space="preserve">in </w:t>
      </w:r>
      <w:r w:rsidRPr="00C27A72">
        <w:t>Europe and North America.</w:t>
      </w:r>
      <w:r>
        <w:t xml:space="preserve"> </w:t>
      </w:r>
      <w:r w:rsidR="009E44BF" w:rsidRPr="009E44BF">
        <w:t xml:space="preserve">Bioinformatic searches </w:t>
      </w:r>
      <w:r w:rsidR="009E44BF">
        <w:t xml:space="preserve">for AFP </w:t>
      </w:r>
      <w:r w:rsidR="009E44BF" w:rsidRPr="009E44BF">
        <w:t>did not indicate homology with known toxins, venoms or food allergens.</w:t>
      </w:r>
      <w:r>
        <w:t xml:space="preserve"> </w:t>
      </w:r>
      <w:r w:rsidR="009E44BF" w:rsidRPr="00A83E03">
        <w:rPr>
          <w:i/>
        </w:rPr>
        <w:t>In vitro</w:t>
      </w:r>
      <w:r w:rsidR="009E44BF" w:rsidRPr="009E44BF">
        <w:t xml:space="preserve"> incubation of AFP in simulated gastric fluid showed that AFP is not stable but is digested, and degraded to small protein fragments, within 30 minutes of incubation at body temperature.</w:t>
      </w:r>
      <w:r w:rsidR="001D5CA6">
        <w:t xml:space="preserve"> </w:t>
      </w:r>
      <w:r w:rsidR="003646AE" w:rsidRPr="003646AE">
        <w:t xml:space="preserve">Therefore it is anticipated that AFP will be digested like </w:t>
      </w:r>
      <w:r>
        <w:t>other dietary protein</w:t>
      </w:r>
      <w:r w:rsidR="0007321E">
        <w:t>s</w:t>
      </w:r>
      <w:r w:rsidR="003646AE" w:rsidRPr="003646AE">
        <w:t>.</w:t>
      </w:r>
    </w:p>
    <w:p w14:paraId="1B9ECA52" w14:textId="77777777" w:rsidR="00C27A72" w:rsidRDefault="00C27A72" w:rsidP="00C27A72">
      <w:pPr>
        <w:pStyle w:val="ListParagraph"/>
      </w:pPr>
    </w:p>
    <w:p w14:paraId="7F6BE739" w14:textId="302CA8E8" w:rsidR="00C27A72" w:rsidRDefault="00A83E03" w:rsidP="00A83E03">
      <w:r>
        <w:lastRenderedPageBreak/>
        <w:t>T</w:t>
      </w:r>
      <w:r w:rsidR="001D5CA6">
        <w:t xml:space="preserve">oxicology studies on AFP were not submitted by the Applicant but are not routinely required </w:t>
      </w:r>
      <w:r w:rsidR="00C27A72">
        <w:t xml:space="preserve">by FSANZ </w:t>
      </w:r>
      <w:r w:rsidR="001D5CA6">
        <w:t>where there is evidence of a history of safe consumption and enzyme degradation has been demonstrated in appropriate digestion systems.</w:t>
      </w:r>
    </w:p>
    <w:p w14:paraId="346592F6" w14:textId="77777777" w:rsidR="00C27A72" w:rsidRDefault="00C27A72" w:rsidP="00C27A72">
      <w:pPr>
        <w:pStyle w:val="ListParagraph"/>
      </w:pPr>
    </w:p>
    <w:p w14:paraId="0E7A1689" w14:textId="7A71EBB1" w:rsidR="009E44BF" w:rsidRDefault="009E44BF" w:rsidP="00A83E03">
      <w:r w:rsidRPr="009E44BF">
        <w:t>No major allergens are used directly in the preparation of the enzyme, although glucose used in the fermentation medium is derived from wheat. The possibility that traces of wheat protein may be present in the final preparation cannot be excluded.</w:t>
      </w:r>
    </w:p>
    <w:p w14:paraId="281442A3" w14:textId="47C7DDF3" w:rsidR="00AF0509" w:rsidRDefault="00AF0509" w:rsidP="00BD59CB">
      <w:pPr>
        <w:pStyle w:val="Heading1"/>
        <w:ind w:left="567" w:hanging="567"/>
        <w:rPr>
          <w:sz w:val="28"/>
        </w:rPr>
      </w:pPr>
      <w:bookmarkStart w:id="88" w:name="_Toc533087530"/>
      <w:bookmarkStart w:id="89" w:name="_Toc534297222"/>
      <w:r w:rsidRPr="00D8467D">
        <w:rPr>
          <w:sz w:val="28"/>
        </w:rPr>
        <w:t xml:space="preserve">5 </w:t>
      </w:r>
      <w:r w:rsidR="00BD59CB" w:rsidRPr="00D8467D">
        <w:rPr>
          <w:sz w:val="28"/>
        </w:rPr>
        <w:tab/>
      </w:r>
      <w:r w:rsidRPr="00D8467D">
        <w:rPr>
          <w:sz w:val="28"/>
        </w:rPr>
        <w:t>Conclusions</w:t>
      </w:r>
      <w:bookmarkEnd w:id="88"/>
      <w:bookmarkEnd w:id="89"/>
    </w:p>
    <w:p w14:paraId="631CB190" w14:textId="533149AA" w:rsidR="009526FC" w:rsidRDefault="009526FC" w:rsidP="009526FC">
      <w:pPr>
        <w:rPr>
          <w:lang w:bidi="ar-SA"/>
        </w:rPr>
      </w:pPr>
      <w:r>
        <w:rPr>
          <w:lang w:bidi="ar-SA"/>
        </w:rPr>
        <w:t xml:space="preserve">Based on the reviewed toxicological data, it is concluded that in the absence of any identifiable hazard to health and safety of the general population, an Acceptable Daily Intake (ADI) ‘not specified’ is appropriate. A dietary exposure assessment is therefore not required. </w:t>
      </w:r>
    </w:p>
    <w:p w14:paraId="24E3DB72" w14:textId="769D9842" w:rsidR="003646AE" w:rsidRDefault="003646AE" w:rsidP="009526FC">
      <w:pPr>
        <w:rPr>
          <w:lang w:bidi="ar-SA"/>
        </w:rPr>
      </w:pPr>
    </w:p>
    <w:p w14:paraId="16E71F41" w14:textId="4AF291C6" w:rsidR="003646AE" w:rsidRDefault="003646AE" w:rsidP="009526FC">
      <w:pPr>
        <w:rPr>
          <w:lang w:bidi="ar-SA"/>
        </w:rPr>
      </w:pPr>
      <w:r w:rsidRPr="003646AE">
        <w:rPr>
          <w:lang w:bidi="ar-SA"/>
        </w:rPr>
        <w:t>It is concluded there are no public health or safety concerns associated with the use of AFP as a food processing aid.</w:t>
      </w:r>
    </w:p>
    <w:p w14:paraId="26281CEA" w14:textId="01CC66C9" w:rsidR="00AF0509" w:rsidRDefault="00AF0509" w:rsidP="00BD59CB">
      <w:pPr>
        <w:pStyle w:val="Heading1"/>
        <w:ind w:left="567" w:hanging="567"/>
        <w:rPr>
          <w:sz w:val="28"/>
        </w:rPr>
      </w:pPr>
      <w:bookmarkStart w:id="90" w:name="_Toc533087531"/>
      <w:bookmarkStart w:id="91" w:name="_Toc534297223"/>
      <w:r w:rsidRPr="00D8467D">
        <w:rPr>
          <w:sz w:val="28"/>
        </w:rPr>
        <w:t xml:space="preserve">6 </w:t>
      </w:r>
      <w:r w:rsidR="00BD59CB" w:rsidRPr="00D8467D">
        <w:rPr>
          <w:sz w:val="28"/>
        </w:rPr>
        <w:tab/>
      </w:r>
      <w:r w:rsidRPr="00D8467D">
        <w:rPr>
          <w:sz w:val="28"/>
        </w:rPr>
        <w:t>References</w:t>
      </w:r>
      <w:bookmarkEnd w:id="87"/>
      <w:bookmarkEnd w:id="90"/>
      <w:bookmarkEnd w:id="91"/>
    </w:p>
    <w:p w14:paraId="16656CA9" w14:textId="77777777" w:rsidR="0044565B" w:rsidRPr="0044565B" w:rsidRDefault="0044565B" w:rsidP="00633A36">
      <w:pPr>
        <w:widowControl/>
        <w:spacing w:after="120"/>
        <w:rPr>
          <w:rFonts w:eastAsia="Calibri"/>
          <w:szCs w:val="22"/>
          <w:lang w:val="en-AU" w:bidi="ar-SA"/>
        </w:rPr>
      </w:pPr>
      <w:r w:rsidRPr="0044565B">
        <w:rPr>
          <w:rFonts w:eastAsia="Calibri"/>
          <w:szCs w:val="22"/>
          <w:lang w:val="en-AU" w:bidi="ar-SA"/>
        </w:rPr>
        <w:t xml:space="preserve">Bindslev-Jensen C, Skov PS, Roggen EL, Hvass P, Brinch DS (2006) Investigation on possible allergenicity of 19 different commercial enzymes used in the food industry. </w:t>
      </w:r>
      <w:r w:rsidRPr="0044565B">
        <w:rPr>
          <w:rFonts w:eastAsia="Calibri"/>
          <w:i/>
          <w:szCs w:val="22"/>
          <w:lang w:val="en-AU" w:bidi="ar-SA"/>
        </w:rPr>
        <w:t>Food and Chemical Toxicology</w:t>
      </w:r>
      <w:r w:rsidRPr="0044565B">
        <w:rPr>
          <w:rFonts w:eastAsia="Calibri"/>
          <w:szCs w:val="22"/>
          <w:lang w:val="en-AU" w:bidi="ar-SA"/>
        </w:rPr>
        <w:t xml:space="preserve"> 44: 1909-1915.</w:t>
      </w:r>
    </w:p>
    <w:p w14:paraId="48E22707" w14:textId="0D634746" w:rsidR="007954BE" w:rsidRPr="0003276E" w:rsidRDefault="007954BE" w:rsidP="00633A36">
      <w:pPr>
        <w:spacing w:after="120"/>
        <w:rPr>
          <w:rFonts w:cs="Arial"/>
          <w:szCs w:val="22"/>
        </w:rPr>
      </w:pPr>
      <w:r w:rsidRPr="0003276E">
        <w:rPr>
          <w:rFonts w:eastAsiaTheme="minorHAnsi" w:cs="Arial"/>
          <w:szCs w:val="22"/>
          <w:lang w:val="en-AU" w:bidi="ar-SA"/>
        </w:rPr>
        <w:t xml:space="preserve">Blumenthal CZ (2004) Production of toxic metabolites in </w:t>
      </w:r>
      <w:r w:rsidRPr="0003276E">
        <w:rPr>
          <w:rFonts w:eastAsiaTheme="minorHAnsi" w:cs="Arial"/>
          <w:i/>
          <w:szCs w:val="22"/>
          <w:lang w:val="en-AU" w:bidi="ar-SA"/>
        </w:rPr>
        <w:t xml:space="preserve">Aspergillus niger, Aspergillus oryzae, </w:t>
      </w:r>
      <w:r w:rsidRPr="0003276E">
        <w:rPr>
          <w:rFonts w:eastAsiaTheme="minorHAnsi" w:cs="Arial"/>
          <w:szCs w:val="22"/>
          <w:lang w:val="en-AU" w:bidi="ar-SA"/>
        </w:rPr>
        <w:t xml:space="preserve">and </w:t>
      </w:r>
      <w:r w:rsidRPr="0003276E">
        <w:rPr>
          <w:rFonts w:eastAsiaTheme="minorHAnsi" w:cs="Arial"/>
          <w:i/>
          <w:szCs w:val="22"/>
          <w:lang w:val="en-AU" w:bidi="ar-SA"/>
        </w:rPr>
        <w:t xml:space="preserve">Trichoderma reesei: </w:t>
      </w:r>
      <w:r w:rsidRPr="0003276E">
        <w:rPr>
          <w:rFonts w:eastAsiaTheme="minorHAnsi" w:cs="Arial"/>
          <w:szCs w:val="22"/>
          <w:lang w:val="en-AU" w:bidi="ar-SA"/>
        </w:rPr>
        <w:t xml:space="preserve">Justification of mycotoxin testing in food grade enzyme preparations derived from the three fungi. </w:t>
      </w:r>
      <w:r w:rsidRPr="0003276E">
        <w:rPr>
          <w:rFonts w:cs="Arial"/>
          <w:szCs w:val="22"/>
        </w:rPr>
        <w:t>Regulatory Toxicology and Pharmacology 39:214</w:t>
      </w:r>
      <w:r w:rsidR="007B10E7" w:rsidRPr="0003276E">
        <w:rPr>
          <w:rFonts w:cs="Arial"/>
          <w:szCs w:val="22"/>
        </w:rPr>
        <w:t>–</w:t>
      </w:r>
      <w:r w:rsidRPr="0003276E">
        <w:rPr>
          <w:rFonts w:cs="Arial"/>
          <w:szCs w:val="22"/>
        </w:rPr>
        <w:t>228</w:t>
      </w:r>
    </w:p>
    <w:p w14:paraId="2176A627" w14:textId="0A6BDAE2" w:rsidR="00214859" w:rsidRDefault="00214859" w:rsidP="00633A36">
      <w:pPr>
        <w:spacing w:after="120"/>
        <w:rPr>
          <w:szCs w:val="22"/>
        </w:rPr>
      </w:pPr>
      <w:r w:rsidRPr="0003276E">
        <w:rPr>
          <w:szCs w:val="22"/>
        </w:rPr>
        <w:t>Damodaran S, Parkin K, &amp; Fennema OR (2008) Fennema's Food Chemistry. Boca Raton: CRC Press/Taylor &amp; Francis pp. 293</w:t>
      </w:r>
      <w:r w:rsidR="007B10E7" w:rsidRPr="0003276E">
        <w:rPr>
          <w:szCs w:val="22"/>
        </w:rPr>
        <w:t>–</w:t>
      </w:r>
      <w:r w:rsidRPr="0003276E">
        <w:rPr>
          <w:szCs w:val="22"/>
        </w:rPr>
        <w:t>295</w:t>
      </w:r>
    </w:p>
    <w:p w14:paraId="480D580E" w14:textId="77777777" w:rsidR="0044565B" w:rsidRPr="0044565B" w:rsidRDefault="0044565B" w:rsidP="00633A36">
      <w:pPr>
        <w:widowControl/>
        <w:spacing w:after="120"/>
        <w:rPr>
          <w:rFonts w:eastAsia="Calibri"/>
          <w:szCs w:val="22"/>
          <w:lang w:val="en-AU" w:bidi="ar-SA"/>
        </w:rPr>
      </w:pPr>
      <w:r w:rsidRPr="0044565B">
        <w:rPr>
          <w:rFonts w:eastAsia="Calibri"/>
          <w:szCs w:val="22"/>
          <w:lang w:bidi="ar-SA"/>
        </w:rPr>
        <w:t>Dauvrin T, Groot G, Maurer K-H, de Rijke D, Ryssov-Nielsen H, Simonse M, Sorensen TB (1998) Working group on consumer allergy risk from enzyme residues in food. An AMFEP expert group evaluation study.</w:t>
      </w:r>
    </w:p>
    <w:p w14:paraId="1B3B1489" w14:textId="3C13583A" w:rsidR="00066184" w:rsidRPr="0003276E" w:rsidRDefault="00066184" w:rsidP="00633A36">
      <w:pPr>
        <w:spacing w:after="120"/>
        <w:rPr>
          <w:rFonts w:eastAsiaTheme="minorHAnsi"/>
          <w:szCs w:val="22"/>
        </w:rPr>
      </w:pPr>
      <w:r w:rsidRPr="0003276E">
        <w:rPr>
          <w:rFonts w:eastAsiaTheme="minorHAnsi" w:cs="Arial"/>
          <w:szCs w:val="22"/>
          <w:lang w:val="en-AU" w:bidi="ar-SA"/>
        </w:rPr>
        <w:t xml:space="preserve">Gruber F, Visser J, Kubicek CP, de Graaff LH (1990) </w:t>
      </w:r>
      <w:r w:rsidRPr="0003276E">
        <w:rPr>
          <w:rFonts w:eastAsiaTheme="minorHAnsi" w:cs="Arial"/>
          <w:szCs w:val="22"/>
          <w:lang w:bidi="ar-SA"/>
        </w:rPr>
        <w:t xml:space="preserve">Cloning of the </w:t>
      </w:r>
      <w:r w:rsidRPr="0003276E">
        <w:rPr>
          <w:rFonts w:eastAsiaTheme="minorHAnsi" w:cs="Arial"/>
          <w:i/>
          <w:iCs/>
          <w:szCs w:val="22"/>
          <w:lang w:bidi="ar-SA"/>
        </w:rPr>
        <w:t>Trichoderma reesei pyrG</w:t>
      </w:r>
      <w:r w:rsidRPr="0003276E">
        <w:rPr>
          <w:rFonts w:eastAsiaTheme="minorHAnsi" w:cs="Arial"/>
          <w:szCs w:val="22"/>
          <w:lang w:bidi="ar-SA"/>
        </w:rPr>
        <w:t xml:space="preserve"> gene </w:t>
      </w:r>
      <w:r w:rsidRPr="0003276E">
        <w:rPr>
          <w:rFonts w:eastAsiaTheme="minorHAnsi"/>
          <w:szCs w:val="22"/>
        </w:rPr>
        <w:t>and its use as a homologous marker for a high-frequency transformation system. Current genetics 18(5):447</w:t>
      </w:r>
      <w:r w:rsidR="007B10E7" w:rsidRPr="0003276E">
        <w:rPr>
          <w:rFonts w:eastAsiaTheme="minorHAnsi"/>
          <w:szCs w:val="22"/>
        </w:rPr>
        <w:t>–</w:t>
      </w:r>
      <w:r w:rsidRPr="0003276E">
        <w:rPr>
          <w:rFonts w:eastAsiaTheme="minorHAnsi"/>
          <w:szCs w:val="22"/>
        </w:rPr>
        <w:t>451</w:t>
      </w:r>
    </w:p>
    <w:p w14:paraId="32A0F95C" w14:textId="69D01757" w:rsidR="00EA001E" w:rsidRPr="0003276E" w:rsidRDefault="00EA001E" w:rsidP="00633A36">
      <w:pPr>
        <w:spacing w:after="120"/>
        <w:rPr>
          <w:rFonts w:eastAsiaTheme="minorHAnsi" w:cs="Arial"/>
          <w:szCs w:val="22"/>
          <w:lang w:bidi="ar-SA"/>
        </w:rPr>
      </w:pPr>
      <w:r w:rsidRPr="0003276E">
        <w:rPr>
          <w:rFonts w:eastAsiaTheme="minorHAnsi" w:cs="Arial"/>
          <w:szCs w:val="22"/>
          <w:lang w:bidi="ar-SA"/>
        </w:rPr>
        <w:t xml:space="preserve">Gryshyna A, Kautto L, Peterson R, Nevalainen KMH (2016) On the safety of filamentous fungi with special emphasis on </w:t>
      </w:r>
      <w:r w:rsidRPr="0003276E">
        <w:rPr>
          <w:rFonts w:eastAsiaTheme="minorHAnsi" w:cs="Arial"/>
          <w:i/>
          <w:szCs w:val="22"/>
          <w:lang w:bidi="ar-SA"/>
        </w:rPr>
        <w:t>Trichoderma reesei</w:t>
      </w:r>
      <w:r w:rsidRPr="0003276E">
        <w:rPr>
          <w:rFonts w:eastAsiaTheme="minorHAnsi" w:cs="Arial"/>
          <w:szCs w:val="22"/>
          <w:lang w:bidi="ar-SA"/>
        </w:rPr>
        <w:t xml:space="preserve"> and products made by recombinant means. In Schmoll M, Dattenböck C (eds) Gene expression systems in fungi: advancements and applications. Fungal Biology. Springer, Cham</w:t>
      </w:r>
    </w:p>
    <w:p w14:paraId="5C79075C" w14:textId="488B2716" w:rsidR="00955B47" w:rsidRDefault="0003276E" w:rsidP="00633A36">
      <w:pPr>
        <w:spacing w:after="120"/>
        <w:rPr>
          <w:szCs w:val="22"/>
        </w:rPr>
      </w:pPr>
      <w:r w:rsidRPr="0003276E">
        <w:rPr>
          <w:rFonts w:cs="Arial"/>
          <w:noProof/>
          <w:szCs w:val="22"/>
        </w:rPr>
        <w:t xml:space="preserve">IUBMB (International Union of Biochemistry and Molecular Biology) </w:t>
      </w:r>
      <w:hyperlink r:id="rId30" w:history="1">
        <w:r w:rsidRPr="0003276E">
          <w:rPr>
            <w:rStyle w:val="Hyperlink"/>
            <w:szCs w:val="22"/>
          </w:rPr>
          <w:t>Enzyme Nomenclature for EC 3.4.23.18</w:t>
        </w:r>
      </w:hyperlink>
      <w:r w:rsidRPr="0003276E">
        <w:rPr>
          <w:szCs w:val="22"/>
        </w:rPr>
        <w:t xml:space="preserve">. </w:t>
      </w:r>
      <w:r w:rsidR="00B46AE4">
        <w:rPr>
          <w:szCs w:val="22"/>
        </w:rPr>
        <w:t>Accessed</w:t>
      </w:r>
      <w:r w:rsidR="00B46AE4" w:rsidRPr="0003276E">
        <w:rPr>
          <w:szCs w:val="22"/>
        </w:rPr>
        <w:t xml:space="preserve"> </w:t>
      </w:r>
      <w:r w:rsidR="007E5713">
        <w:rPr>
          <w:szCs w:val="22"/>
        </w:rPr>
        <w:t xml:space="preserve">12 </w:t>
      </w:r>
      <w:r w:rsidR="00B46AE4" w:rsidRPr="0003276E">
        <w:rPr>
          <w:szCs w:val="22"/>
        </w:rPr>
        <w:t>November 2018</w:t>
      </w:r>
    </w:p>
    <w:p w14:paraId="4CBE9CE3" w14:textId="77777777" w:rsidR="007E5713" w:rsidRPr="007E5713" w:rsidRDefault="007E5713" w:rsidP="00633A36">
      <w:pPr>
        <w:spacing w:after="120"/>
        <w:rPr>
          <w:szCs w:val="20"/>
          <w:highlight w:val="yellow"/>
        </w:rPr>
      </w:pPr>
      <w:r w:rsidRPr="007E5713">
        <w:rPr>
          <w:szCs w:val="20"/>
        </w:rPr>
        <w:t xml:space="preserve">JECFA (2016) </w:t>
      </w:r>
      <w:hyperlink r:id="rId31" w:history="1">
        <w:r w:rsidRPr="007E5713">
          <w:rPr>
            <w:rStyle w:val="Hyperlink"/>
            <w:szCs w:val="20"/>
          </w:rPr>
          <w:t>Combined compendium of food additive specifications</w:t>
        </w:r>
      </w:hyperlink>
      <w:r w:rsidRPr="007E5713">
        <w:rPr>
          <w:szCs w:val="20"/>
        </w:rPr>
        <w:t xml:space="preserve"> Accessed 15 November 2018</w:t>
      </w:r>
    </w:p>
    <w:p w14:paraId="7D26A759" w14:textId="1BC6E626" w:rsidR="009F0CD4" w:rsidRPr="0003276E" w:rsidRDefault="009F0CD4" w:rsidP="00633A36">
      <w:pPr>
        <w:widowControl/>
        <w:autoSpaceDE w:val="0"/>
        <w:autoSpaceDN w:val="0"/>
        <w:adjustRightInd w:val="0"/>
        <w:spacing w:after="120"/>
        <w:rPr>
          <w:rFonts w:eastAsiaTheme="minorHAnsi" w:cs="Arial"/>
          <w:szCs w:val="22"/>
          <w:lang w:val="en-AU" w:bidi="ar-SA"/>
        </w:rPr>
      </w:pPr>
      <w:r w:rsidRPr="0003276E">
        <w:rPr>
          <w:rFonts w:cs="Arial"/>
          <w:color w:val="000000" w:themeColor="text1"/>
          <w:szCs w:val="22"/>
        </w:rPr>
        <w:t xml:space="preserve">Jørgensen MS, Skovlund DA, Johannesen PF, Mortensen UH (2014) </w:t>
      </w:r>
      <w:r w:rsidRPr="0003276E">
        <w:rPr>
          <w:rFonts w:eastAsiaTheme="minorHAnsi" w:cs="Arial"/>
          <w:szCs w:val="22"/>
          <w:lang w:val="en-AU" w:bidi="ar-SA"/>
        </w:rPr>
        <w:t xml:space="preserve">A novel platform for heterologous gene expression in </w:t>
      </w:r>
      <w:r w:rsidRPr="0003276E">
        <w:rPr>
          <w:rFonts w:eastAsiaTheme="minorHAnsi" w:cs="Arial"/>
          <w:i/>
          <w:szCs w:val="22"/>
          <w:lang w:val="en-AU" w:bidi="ar-SA"/>
        </w:rPr>
        <w:t>Trichoderma reesei</w:t>
      </w:r>
      <w:r w:rsidRPr="0003276E">
        <w:rPr>
          <w:rFonts w:eastAsiaTheme="minorHAnsi" w:cs="Arial"/>
          <w:szCs w:val="22"/>
          <w:lang w:val="en-AU" w:bidi="ar-SA"/>
        </w:rPr>
        <w:t xml:space="preserve"> (Teleomorph </w:t>
      </w:r>
      <w:r w:rsidRPr="0003276E">
        <w:rPr>
          <w:rFonts w:eastAsiaTheme="minorHAnsi" w:cs="Arial"/>
          <w:i/>
          <w:szCs w:val="22"/>
          <w:lang w:val="en-AU" w:bidi="ar-SA"/>
        </w:rPr>
        <w:t>Hypocrea jecorina</w:t>
      </w:r>
      <w:r w:rsidRPr="0003276E">
        <w:rPr>
          <w:rFonts w:eastAsiaTheme="minorHAnsi" w:cs="Arial"/>
          <w:szCs w:val="22"/>
          <w:lang w:val="en-AU" w:bidi="ar-SA"/>
        </w:rPr>
        <w:t>) Microbial Cell Factories 13(1): pp33. doi: 10.1186/1475-2859-13-33</w:t>
      </w:r>
    </w:p>
    <w:p w14:paraId="64AC2DBA" w14:textId="13E9E016" w:rsidR="00066184" w:rsidRPr="0003276E" w:rsidRDefault="00066184" w:rsidP="00633A36">
      <w:pPr>
        <w:spacing w:after="120"/>
        <w:rPr>
          <w:rFonts w:cs="Arial"/>
          <w:szCs w:val="22"/>
        </w:rPr>
      </w:pPr>
      <w:r w:rsidRPr="0003276E">
        <w:rPr>
          <w:rFonts w:cs="Arial"/>
          <w:szCs w:val="22"/>
        </w:rPr>
        <w:t>Karhunen T, Mäntylä A, Nevalainen KMH,</w:t>
      </w:r>
      <w:r w:rsidR="007B10E7" w:rsidRPr="0003276E">
        <w:rPr>
          <w:rFonts w:cs="Arial"/>
          <w:szCs w:val="22"/>
        </w:rPr>
        <w:t xml:space="preserve"> </w:t>
      </w:r>
      <w:r w:rsidRPr="0003276E">
        <w:rPr>
          <w:rFonts w:cs="Arial"/>
          <w:szCs w:val="22"/>
        </w:rPr>
        <w:t xml:space="preserve">Suominen PL (1993) High frequency one-step gene replacement in Trichoderma reesei. I. Endoglucanase I overproduction. </w:t>
      </w:r>
      <w:r w:rsidRPr="0003276E">
        <w:rPr>
          <w:rFonts w:cs="Arial"/>
          <w:iCs/>
          <w:szCs w:val="22"/>
        </w:rPr>
        <w:t>Molecular &amp; General Genetics</w:t>
      </w:r>
      <w:r w:rsidRPr="0003276E">
        <w:rPr>
          <w:rFonts w:cs="Arial"/>
          <w:i/>
          <w:iCs/>
          <w:szCs w:val="22"/>
        </w:rPr>
        <w:t xml:space="preserve"> </w:t>
      </w:r>
      <w:r w:rsidR="00955B47" w:rsidRPr="0003276E">
        <w:rPr>
          <w:rFonts w:cs="Arial"/>
          <w:szCs w:val="22"/>
        </w:rPr>
        <w:t>241 (5-6): 515–522</w:t>
      </w:r>
    </w:p>
    <w:p w14:paraId="3C633314" w14:textId="140022BC" w:rsidR="00066184" w:rsidRPr="0003276E" w:rsidRDefault="00066184" w:rsidP="00633A36">
      <w:pPr>
        <w:spacing w:after="120"/>
        <w:rPr>
          <w:rFonts w:cs="Arial"/>
          <w:szCs w:val="22"/>
        </w:rPr>
      </w:pPr>
      <w:r w:rsidRPr="0003276E">
        <w:rPr>
          <w:rFonts w:cs="Arial"/>
          <w:szCs w:val="22"/>
        </w:rPr>
        <w:t xml:space="preserve">Kelly JM, Hynes MJ (1985) Transformation of </w:t>
      </w:r>
      <w:r w:rsidRPr="0003276E">
        <w:rPr>
          <w:rFonts w:cs="Arial"/>
          <w:i/>
          <w:szCs w:val="22"/>
        </w:rPr>
        <w:t>Aspergillus niger</w:t>
      </w:r>
      <w:r w:rsidRPr="0003276E">
        <w:rPr>
          <w:rFonts w:cs="Arial"/>
          <w:szCs w:val="22"/>
        </w:rPr>
        <w:t xml:space="preserve"> by the </w:t>
      </w:r>
      <w:r w:rsidRPr="0003276E">
        <w:rPr>
          <w:rFonts w:cs="Arial"/>
          <w:i/>
          <w:szCs w:val="22"/>
        </w:rPr>
        <w:t>amdS</w:t>
      </w:r>
      <w:r w:rsidRPr="0003276E">
        <w:rPr>
          <w:rFonts w:cs="Arial"/>
          <w:szCs w:val="22"/>
        </w:rPr>
        <w:t xml:space="preserve"> gene of </w:t>
      </w:r>
      <w:r w:rsidRPr="0003276E">
        <w:rPr>
          <w:rFonts w:cs="Arial"/>
          <w:i/>
          <w:szCs w:val="22"/>
        </w:rPr>
        <w:lastRenderedPageBreak/>
        <w:t>Aspergillus nidulans</w:t>
      </w:r>
      <w:r w:rsidR="007B10E7" w:rsidRPr="0003276E">
        <w:rPr>
          <w:rFonts w:cs="Arial"/>
          <w:i/>
          <w:szCs w:val="22"/>
        </w:rPr>
        <w:t>.</w:t>
      </w:r>
      <w:r w:rsidRPr="0003276E">
        <w:rPr>
          <w:rFonts w:cs="Arial"/>
          <w:szCs w:val="22"/>
        </w:rPr>
        <w:t xml:space="preserve"> The EMBO Journal 4(2)</w:t>
      </w:r>
      <w:r w:rsidR="007B10E7" w:rsidRPr="0003276E">
        <w:rPr>
          <w:rFonts w:cs="Arial"/>
          <w:szCs w:val="22"/>
        </w:rPr>
        <w:t>:</w:t>
      </w:r>
      <w:r w:rsidRPr="0003276E">
        <w:rPr>
          <w:rFonts w:cs="Arial"/>
          <w:szCs w:val="22"/>
        </w:rPr>
        <w:t>475–479</w:t>
      </w:r>
    </w:p>
    <w:p w14:paraId="54D6D849" w14:textId="0DCFDBB3" w:rsidR="007954BE" w:rsidRPr="0003276E" w:rsidRDefault="007954BE" w:rsidP="00633A36">
      <w:pPr>
        <w:spacing w:after="120"/>
        <w:rPr>
          <w:rFonts w:cs="Arial"/>
          <w:szCs w:val="22"/>
        </w:rPr>
      </w:pPr>
      <w:r w:rsidRPr="0003276E">
        <w:rPr>
          <w:rFonts w:cs="Arial"/>
          <w:szCs w:val="22"/>
        </w:rPr>
        <w:t>Nevalainen H, Suominen P</w:t>
      </w:r>
      <w:r w:rsidR="007B10E7" w:rsidRPr="0003276E">
        <w:rPr>
          <w:rFonts w:cs="Arial"/>
          <w:szCs w:val="22"/>
        </w:rPr>
        <w:t>,</w:t>
      </w:r>
      <w:r w:rsidRPr="0003276E">
        <w:rPr>
          <w:rFonts w:cs="Arial"/>
          <w:szCs w:val="22"/>
        </w:rPr>
        <w:t xml:space="preserve"> Taimisto K (1994) On the safety of </w:t>
      </w:r>
      <w:r w:rsidRPr="0003276E">
        <w:rPr>
          <w:rFonts w:cs="Arial"/>
          <w:i/>
          <w:szCs w:val="22"/>
        </w:rPr>
        <w:t xml:space="preserve">Trichoderma reesei. </w:t>
      </w:r>
      <w:r w:rsidRPr="0003276E">
        <w:rPr>
          <w:rFonts w:cs="Arial"/>
          <w:szCs w:val="22"/>
        </w:rPr>
        <w:t>Journal of Biotechnology 37:193</w:t>
      </w:r>
      <w:r w:rsidR="007B10E7" w:rsidRPr="0003276E">
        <w:rPr>
          <w:rFonts w:cs="Arial"/>
          <w:szCs w:val="22"/>
        </w:rPr>
        <w:t>–</w:t>
      </w:r>
      <w:r w:rsidRPr="0003276E">
        <w:rPr>
          <w:rFonts w:cs="Arial"/>
          <w:szCs w:val="22"/>
        </w:rPr>
        <w:t>200</w:t>
      </w:r>
    </w:p>
    <w:p w14:paraId="5134485A" w14:textId="2A11E0D1" w:rsidR="007954BE" w:rsidRDefault="007954BE" w:rsidP="00633A36">
      <w:pPr>
        <w:spacing w:after="120"/>
        <w:rPr>
          <w:rFonts w:cs="Arial"/>
          <w:szCs w:val="22"/>
        </w:rPr>
      </w:pPr>
      <w:r w:rsidRPr="0003276E">
        <w:rPr>
          <w:rFonts w:cs="Arial"/>
          <w:szCs w:val="22"/>
        </w:rPr>
        <w:t>Olempska-Beer ZS, Merker RI, Ditto MD, DiNovi MJ (2006) Food-processing enzymes from recombinant microorganisms – A review. Regulatory Toxicology and Pharmacology 45:144</w:t>
      </w:r>
      <w:r w:rsidR="007B10E7" w:rsidRPr="0003276E">
        <w:rPr>
          <w:rFonts w:cs="Arial"/>
          <w:szCs w:val="22"/>
        </w:rPr>
        <w:t>–</w:t>
      </w:r>
      <w:r w:rsidRPr="0003276E">
        <w:rPr>
          <w:rFonts w:cs="Arial"/>
          <w:szCs w:val="22"/>
        </w:rPr>
        <w:t>158</w:t>
      </w:r>
    </w:p>
    <w:p w14:paraId="5B80B136" w14:textId="74ABE469" w:rsidR="008461F5" w:rsidRPr="008461F5" w:rsidRDefault="008461F5" w:rsidP="00633A36">
      <w:pPr>
        <w:widowControl/>
        <w:spacing w:after="120" w:line="276" w:lineRule="auto"/>
        <w:rPr>
          <w:rFonts w:eastAsia="Calibri" w:cs="Arial"/>
          <w:szCs w:val="22"/>
          <w:lang w:bidi="ar-SA"/>
        </w:rPr>
      </w:pPr>
      <w:r w:rsidRPr="008461F5">
        <w:rPr>
          <w:rFonts w:eastAsia="Calibri" w:cs="Arial"/>
          <w:szCs w:val="22"/>
          <w:lang w:bidi="ar-SA"/>
        </w:rPr>
        <w:t>Pariza, M.W. and Johnson, E.A. (2001). Evaluating the safety of microbial enzyme preparations used in food processing: update for a new century. RegulatoryToxicology and Pharmacology. 33: 173 – 186.</w:t>
      </w:r>
    </w:p>
    <w:p w14:paraId="2BD02E8E" w14:textId="46452660" w:rsidR="00066184" w:rsidRPr="0003276E" w:rsidRDefault="00066184" w:rsidP="00633A36">
      <w:pPr>
        <w:spacing w:after="120"/>
        <w:rPr>
          <w:rFonts w:cs="Arial"/>
          <w:szCs w:val="22"/>
        </w:rPr>
      </w:pPr>
      <w:r w:rsidRPr="0003276E">
        <w:rPr>
          <w:rFonts w:cs="Arial"/>
          <w:szCs w:val="22"/>
        </w:rPr>
        <w:t xml:space="preserve">Penttilä M, Nevalainen H, Rättö M, Salminen E, Knowles J (1987) A versatile transformation system for the cellulolytic filamentous fungus </w:t>
      </w:r>
      <w:r w:rsidRPr="0003276E">
        <w:rPr>
          <w:rFonts w:cs="Arial"/>
          <w:i/>
          <w:szCs w:val="22"/>
        </w:rPr>
        <w:t>Trichoderma reesei.</w:t>
      </w:r>
      <w:r w:rsidRPr="0003276E">
        <w:rPr>
          <w:rFonts w:cs="Arial"/>
          <w:szCs w:val="22"/>
        </w:rPr>
        <w:t xml:space="preserve"> </w:t>
      </w:r>
      <w:r w:rsidRPr="0003276E">
        <w:rPr>
          <w:rFonts w:cs="Arial"/>
          <w:i/>
          <w:iCs/>
          <w:szCs w:val="22"/>
        </w:rPr>
        <w:t xml:space="preserve">Gene </w:t>
      </w:r>
      <w:r w:rsidR="00955B47" w:rsidRPr="0003276E">
        <w:rPr>
          <w:rFonts w:cs="Arial"/>
          <w:szCs w:val="22"/>
        </w:rPr>
        <w:t>61(2):155–164</w:t>
      </w:r>
    </w:p>
    <w:p w14:paraId="1427A0AF" w14:textId="3FD620EC" w:rsidR="00066184" w:rsidRPr="0003276E" w:rsidRDefault="00066184" w:rsidP="00633A36">
      <w:pPr>
        <w:spacing w:after="120"/>
        <w:rPr>
          <w:rFonts w:eastAsiaTheme="minorHAnsi" w:cs="Arial"/>
          <w:szCs w:val="22"/>
          <w:lang w:bidi="ar-SA"/>
        </w:rPr>
      </w:pPr>
      <w:r w:rsidRPr="0003276E">
        <w:rPr>
          <w:rFonts w:eastAsiaTheme="minorHAnsi" w:cs="Arial"/>
          <w:szCs w:val="22"/>
          <w:lang w:val="en-AU" w:bidi="ar-SA"/>
        </w:rPr>
        <w:t>Sheir-Neiss G</w:t>
      </w:r>
      <w:r w:rsidR="002E1922" w:rsidRPr="0003276E">
        <w:rPr>
          <w:rFonts w:eastAsiaTheme="minorHAnsi" w:cs="Arial"/>
          <w:szCs w:val="22"/>
          <w:lang w:val="en-AU" w:bidi="ar-SA"/>
        </w:rPr>
        <w:t>,</w:t>
      </w:r>
      <w:r w:rsidRPr="0003276E">
        <w:rPr>
          <w:rFonts w:eastAsiaTheme="minorHAnsi" w:cs="Arial"/>
          <w:szCs w:val="22"/>
          <w:lang w:val="en-AU" w:bidi="ar-SA"/>
        </w:rPr>
        <w:t xml:space="preserve"> Montenecourt BS (1984) </w:t>
      </w:r>
      <w:r w:rsidRPr="0003276E">
        <w:rPr>
          <w:rFonts w:eastAsiaTheme="minorHAnsi" w:cs="Arial"/>
          <w:szCs w:val="22"/>
          <w:lang w:bidi="ar-SA"/>
        </w:rPr>
        <w:t xml:space="preserve">Characterization of the secreted cellulases of </w:t>
      </w:r>
      <w:r w:rsidRPr="0003276E">
        <w:rPr>
          <w:rFonts w:eastAsiaTheme="minorHAnsi" w:cs="Arial"/>
          <w:i/>
          <w:iCs/>
          <w:szCs w:val="22"/>
          <w:lang w:bidi="ar-SA"/>
        </w:rPr>
        <w:t>Trichoderma reesei</w:t>
      </w:r>
      <w:r w:rsidRPr="0003276E">
        <w:rPr>
          <w:rFonts w:eastAsiaTheme="minorHAnsi" w:cs="Arial"/>
          <w:szCs w:val="22"/>
          <w:lang w:bidi="ar-SA"/>
        </w:rPr>
        <w:t xml:space="preserve"> wild type and mutants during controlled fermentations. Applied Microbiology and Biotechnology 20</w:t>
      </w:r>
      <w:r w:rsidR="007B10E7" w:rsidRPr="0003276E">
        <w:rPr>
          <w:rFonts w:eastAsiaTheme="minorHAnsi" w:cs="Arial"/>
          <w:szCs w:val="22"/>
          <w:lang w:bidi="ar-SA"/>
        </w:rPr>
        <w:t>(</w:t>
      </w:r>
      <w:r w:rsidRPr="0003276E">
        <w:rPr>
          <w:rFonts w:eastAsiaTheme="minorHAnsi" w:cs="Arial"/>
          <w:szCs w:val="22"/>
          <w:lang w:bidi="ar-SA"/>
        </w:rPr>
        <w:t>1):46</w:t>
      </w:r>
      <w:r w:rsidR="007B10E7" w:rsidRPr="0003276E">
        <w:rPr>
          <w:rFonts w:eastAsiaTheme="minorHAnsi" w:cs="Arial"/>
          <w:szCs w:val="22"/>
          <w:lang w:bidi="ar-SA"/>
        </w:rPr>
        <w:t>–</w:t>
      </w:r>
      <w:r w:rsidRPr="0003276E">
        <w:rPr>
          <w:rFonts w:eastAsiaTheme="minorHAnsi" w:cs="Arial"/>
          <w:szCs w:val="22"/>
          <w:lang w:bidi="ar-SA"/>
        </w:rPr>
        <w:t>53</w:t>
      </w:r>
    </w:p>
    <w:p w14:paraId="4F4C1691" w14:textId="36AA3565" w:rsidR="00066184" w:rsidRPr="0003276E" w:rsidRDefault="00066184" w:rsidP="00633A36">
      <w:pPr>
        <w:widowControl/>
        <w:autoSpaceDE w:val="0"/>
        <w:autoSpaceDN w:val="0"/>
        <w:adjustRightInd w:val="0"/>
        <w:spacing w:after="120"/>
        <w:rPr>
          <w:rFonts w:eastAsiaTheme="minorHAnsi" w:cs="Arial"/>
          <w:szCs w:val="22"/>
          <w:lang w:bidi="ar-SA"/>
        </w:rPr>
      </w:pPr>
      <w:r w:rsidRPr="0003276E">
        <w:rPr>
          <w:rFonts w:eastAsiaTheme="minorHAnsi" w:cs="Arial"/>
          <w:szCs w:val="22"/>
          <w:lang w:bidi="ar-SA"/>
        </w:rPr>
        <w:t xml:space="preserve">Smith JL, Bayliss FT, Ward M (1991) Sequence of the cloned </w:t>
      </w:r>
      <w:r w:rsidRPr="0003276E">
        <w:rPr>
          <w:rFonts w:eastAsiaTheme="minorHAnsi" w:cs="Arial"/>
          <w:i/>
          <w:iCs/>
          <w:szCs w:val="22"/>
          <w:lang w:bidi="ar-SA"/>
        </w:rPr>
        <w:t>pyr4</w:t>
      </w:r>
      <w:r w:rsidRPr="0003276E">
        <w:rPr>
          <w:rFonts w:eastAsiaTheme="minorHAnsi" w:cs="Arial"/>
          <w:szCs w:val="22"/>
          <w:lang w:bidi="ar-SA"/>
        </w:rPr>
        <w:t xml:space="preserve"> gene of </w:t>
      </w:r>
      <w:r w:rsidRPr="0003276E">
        <w:rPr>
          <w:rFonts w:eastAsiaTheme="minorHAnsi" w:cs="Arial"/>
          <w:i/>
          <w:iCs/>
          <w:szCs w:val="22"/>
          <w:lang w:bidi="ar-SA"/>
        </w:rPr>
        <w:t>Trichoderma</w:t>
      </w:r>
      <w:r w:rsidRPr="0003276E">
        <w:rPr>
          <w:rFonts w:eastAsiaTheme="minorHAnsi" w:cs="Arial"/>
          <w:szCs w:val="22"/>
          <w:lang w:bidi="ar-SA"/>
        </w:rPr>
        <w:t xml:space="preserve"> </w:t>
      </w:r>
      <w:r w:rsidRPr="0003276E">
        <w:rPr>
          <w:rFonts w:eastAsiaTheme="minorHAnsi" w:cs="Arial"/>
          <w:i/>
          <w:iCs/>
          <w:szCs w:val="22"/>
          <w:lang w:bidi="ar-SA"/>
        </w:rPr>
        <w:t xml:space="preserve">reesei </w:t>
      </w:r>
      <w:r w:rsidRPr="0003276E">
        <w:rPr>
          <w:rFonts w:eastAsiaTheme="minorHAnsi" w:cs="Arial"/>
          <w:szCs w:val="22"/>
          <w:lang w:bidi="ar-SA"/>
        </w:rPr>
        <w:t>and its use as a homologous selectable marker for transformation. Current Genetics 19(1):27</w:t>
      </w:r>
      <w:r w:rsidR="007B10E7" w:rsidRPr="0003276E">
        <w:rPr>
          <w:rFonts w:eastAsiaTheme="minorHAnsi" w:cs="Arial"/>
          <w:szCs w:val="22"/>
          <w:lang w:bidi="ar-SA"/>
        </w:rPr>
        <w:t>–</w:t>
      </w:r>
      <w:r w:rsidRPr="0003276E">
        <w:rPr>
          <w:rFonts w:eastAsiaTheme="minorHAnsi" w:cs="Arial"/>
          <w:szCs w:val="22"/>
          <w:lang w:bidi="ar-SA"/>
        </w:rPr>
        <w:t>33</w:t>
      </w:r>
    </w:p>
    <w:p w14:paraId="198FE1D9" w14:textId="30C06B89" w:rsidR="0061383B" w:rsidRPr="008127D5" w:rsidRDefault="007E5713" w:rsidP="008127D5">
      <w:pPr>
        <w:spacing w:after="120"/>
        <w:rPr>
          <w:sz w:val="24"/>
        </w:rPr>
      </w:pPr>
      <w:r w:rsidRPr="007E5713">
        <w:rPr>
          <w:szCs w:val="20"/>
        </w:rPr>
        <w:t xml:space="preserve">USPC (2018) </w:t>
      </w:r>
      <w:hyperlink r:id="rId32" w:history="1">
        <w:r w:rsidRPr="007E5713">
          <w:rPr>
            <w:rStyle w:val="Hyperlink"/>
            <w:szCs w:val="20"/>
          </w:rPr>
          <w:t>Food Chemicals Codex 11th Edition</w:t>
        </w:r>
      </w:hyperlink>
      <w:r w:rsidRPr="007E5713">
        <w:rPr>
          <w:szCs w:val="20"/>
        </w:rPr>
        <w:t>, United States Pharmacopeial Convention, Rockville, MD. Accessed 23 January 2019</w:t>
      </w:r>
    </w:p>
    <w:sectPr w:rsidR="0061383B" w:rsidRPr="008127D5" w:rsidSect="004C06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739F5" w14:textId="77777777" w:rsidR="00D67D67" w:rsidRDefault="00D67D67">
      <w:r>
        <w:separator/>
      </w:r>
    </w:p>
  </w:endnote>
  <w:endnote w:type="continuationSeparator" w:id="0">
    <w:p w14:paraId="3DD27808" w14:textId="77777777" w:rsidR="00D67D67" w:rsidRDefault="00D67D67">
      <w:r>
        <w:continuationSeparator/>
      </w:r>
    </w:p>
  </w:endnote>
  <w:endnote w:type="continuationNotice" w:id="1">
    <w:p w14:paraId="79E6E4ED" w14:textId="77777777" w:rsidR="00D67D67" w:rsidRDefault="00D6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3043" w14:textId="77777777" w:rsidR="0021656E" w:rsidRPr="0021656E" w:rsidRDefault="0021656E" w:rsidP="0021656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77C050E" w14:textId="75E35094" w:rsidR="00D67D67" w:rsidRDefault="0021656E" w:rsidP="0021656E">
    <w:pPr>
      <w:pStyle w:val="Footer"/>
      <w:framePr w:wrap="around" w:vAnchor="text" w:hAnchor="margin" w:xAlign="center" w:y="1"/>
      <w:jc w:val="center"/>
      <w:rPr>
        <w:rStyle w:val="PageNumber"/>
      </w:rPr>
    </w:pPr>
    <w:r w:rsidRPr="0021656E">
      <w:rPr>
        <w:rStyle w:val="PageNumber"/>
        <w:rFonts w:ascii="Calibri" w:hAnsi="Calibri" w:cs="Calibri"/>
        <w:b/>
        <w:color w:val="F00000"/>
        <w:sz w:val="24"/>
      </w:rPr>
      <w:t>OFFICIAL</w:t>
    </w:r>
    <w:r>
      <w:rPr>
        <w:rStyle w:val="PageNumber"/>
      </w:rPr>
      <w:t xml:space="preserve"> </w:t>
    </w:r>
    <w:r>
      <w:rPr>
        <w:rStyle w:val="PageNumber"/>
      </w:rPr>
      <w:fldChar w:fldCharType="end"/>
    </w:r>
    <w:r w:rsidR="00D67D67">
      <w:rPr>
        <w:rStyle w:val="PageNumber"/>
      </w:rPr>
      <w:fldChar w:fldCharType="begin"/>
    </w:r>
    <w:r w:rsidR="00D67D67">
      <w:rPr>
        <w:rStyle w:val="PageNumber"/>
      </w:rPr>
      <w:instrText xml:space="preserve">PAGE  </w:instrText>
    </w:r>
    <w:r w:rsidR="00D67D67">
      <w:rPr>
        <w:rStyle w:val="PageNumber"/>
      </w:rPr>
      <w:fldChar w:fldCharType="end"/>
    </w:r>
  </w:p>
  <w:p w14:paraId="2BDACCD8" w14:textId="77777777" w:rsidR="00D67D67" w:rsidRDefault="00D67D67" w:rsidP="00216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7B6E" w14:textId="77777777" w:rsidR="0021656E" w:rsidRPr="0021656E" w:rsidRDefault="0021656E" w:rsidP="0021656E">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2E9A7E45" w14:textId="2EB0E2C9" w:rsidR="0021656E" w:rsidRDefault="0021656E" w:rsidP="0021656E">
    <w:pPr>
      <w:pStyle w:val="Footer"/>
      <w:jc w:val="center"/>
    </w:pPr>
    <w:r w:rsidRPr="0021656E">
      <w:rPr>
        <w:rFonts w:ascii="Calibri" w:hAnsi="Calibri" w:cs="Calibri"/>
        <w:b/>
        <w:color w:val="F00000"/>
        <w:sz w:val="24"/>
      </w:rPr>
      <w:t>OFFICIAL</w:t>
    </w:r>
    <w:r>
      <w:t xml:space="preserve"> </w:t>
    </w:r>
    <w:r>
      <w:fldChar w:fldCharType="end"/>
    </w:r>
  </w:p>
  <w:p w14:paraId="3B547F5C" w14:textId="6A5F9888" w:rsidR="00D67D67" w:rsidRDefault="004C068D">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21656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1656E">
      <w:rPr>
        <w:b/>
        <w:bCs/>
        <w:noProof/>
      </w:rPr>
      <w:t>17</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9B91" w14:textId="77777777" w:rsidR="0021656E" w:rsidRPr="0021656E" w:rsidRDefault="0021656E" w:rsidP="0021656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75E36997" w14:textId="684CE948" w:rsidR="004C068D" w:rsidRPr="0021656E" w:rsidRDefault="0021656E" w:rsidP="0021656E">
    <w:pPr>
      <w:pStyle w:val="Footer"/>
      <w:jc w:val="center"/>
    </w:pPr>
    <w:r w:rsidRPr="0021656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5820" w14:textId="77777777" w:rsidR="00D67D67" w:rsidRDefault="00D67D67">
      <w:r>
        <w:separator/>
      </w:r>
    </w:p>
  </w:footnote>
  <w:footnote w:type="continuationSeparator" w:id="0">
    <w:p w14:paraId="641CB521" w14:textId="77777777" w:rsidR="00D67D67" w:rsidRDefault="00D67D67">
      <w:r>
        <w:continuationSeparator/>
      </w:r>
    </w:p>
  </w:footnote>
  <w:footnote w:type="continuationNotice" w:id="1">
    <w:p w14:paraId="704320E5" w14:textId="77777777" w:rsidR="00D67D67" w:rsidRDefault="00D67D67"/>
  </w:footnote>
  <w:footnote w:id="2">
    <w:p w14:paraId="276E70BD" w14:textId="6846D379" w:rsidR="00D67D67" w:rsidRPr="007666D8" w:rsidRDefault="00D67D67">
      <w:pPr>
        <w:pStyle w:val="FootnoteText"/>
        <w:rPr>
          <w:lang w:val="en-AU"/>
        </w:rPr>
      </w:pPr>
      <w:r>
        <w:rPr>
          <w:rStyle w:val="FootnoteReference"/>
        </w:rPr>
        <w:footnoteRef/>
      </w:r>
      <w:r>
        <w:t xml:space="preserve"> </w:t>
      </w:r>
      <w:r w:rsidRPr="007666D8">
        <w:t>International Union of Biochemistry and Molecular Biology.</w:t>
      </w:r>
    </w:p>
  </w:footnote>
  <w:footnote w:id="3">
    <w:p w14:paraId="390893BF" w14:textId="13151F10" w:rsidR="00D67D67" w:rsidRPr="000D2D82" w:rsidRDefault="00D67D67" w:rsidP="000D2D82">
      <w:pPr>
        <w:pStyle w:val="FootnoteText"/>
        <w:rPr>
          <w:lang w:val="en-AU"/>
        </w:rPr>
      </w:pPr>
      <w:r>
        <w:rPr>
          <w:rStyle w:val="FootnoteReference"/>
        </w:rPr>
        <w:footnoteRef/>
      </w:r>
      <w:r>
        <w:t xml:space="preserve"> </w:t>
      </w:r>
      <w:r w:rsidRPr="00334012">
        <w:rPr>
          <w:lang w:val="en-AU"/>
        </w:rPr>
        <w:t>Enzyme Commission, internationally recognised number that provides a unique identifier for enzyme</w:t>
      </w:r>
      <w:r>
        <w:rPr>
          <w:lang w:val="en-AU"/>
        </w:rPr>
        <w:t>s</w:t>
      </w:r>
    </w:p>
  </w:footnote>
  <w:footnote w:id="4">
    <w:p w14:paraId="20D91572" w14:textId="77969742" w:rsidR="00D67D67" w:rsidRPr="00241106" w:rsidRDefault="00D67D67" w:rsidP="00241106">
      <w:pPr>
        <w:pStyle w:val="FootnoteText"/>
      </w:pPr>
      <w:r>
        <w:rPr>
          <w:rStyle w:val="FootnoteReference"/>
        </w:rPr>
        <w:footnoteRef/>
      </w:r>
      <w:r>
        <w:t xml:space="preserve"> Chemical Abstracts Service</w:t>
      </w:r>
      <w:r w:rsidRPr="00241106">
        <w:t xml:space="preserve"> Registry Number</w:t>
      </w:r>
      <w:r>
        <w:t xml:space="preserve">, </w:t>
      </w:r>
      <w:r w:rsidRPr="00334012">
        <w:rPr>
          <w:lang w:val="en-AU"/>
        </w:rPr>
        <w:t>internationally recognised number</w:t>
      </w:r>
      <w:r>
        <w:rPr>
          <w:lang w:val="en-AU"/>
        </w:rPr>
        <w:t xml:space="preserve"> </w:t>
      </w:r>
      <w:r w:rsidRPr="00334012">
        <w:rPr>
          <w:lang w:val="en-AU"/>
        </w:rPr>
        <w:t>that provides a unique identifier for</w:t>
      </w:r>
      <w:r>
        <w:rPr>
          <w:lang w:val="en-AU"/>
        </w:rPr>
        <w:t xml:space="preserve"> </w:t>
      </w:r>
      <w:r w:rsidRPr="00241106">
        <w:rPr>
          <w:lang w:val="en-AU"/>
        </w:rPr>
        <w:t>organic and inorganic chemical substances</w:t>
      </w:r>
    </w:p>
  </w:footnote>
  <w:footnote w:id="5">
    <w:p w14:paraId="670557CB" w14:textId="77777777" w:rsidR="00D67D67" w:rsidRPr="00F15C22" w:rsidRDefault="00D67D67" w:rsidP="00B5041A">
      <w:pPr>
        <w:pStyle w:val="FootnoteText"/>
        <w:rPr>
          <w:lang w:val="en-AU"/>
        </w:rPr>
      </w:pPr>
      <w:r>
        <w:rPr>
          <w:rStyle w:val="FootnoteReference"/>
        </w:rPr>
        <w:footnoteRef/>
      </w:r>
      <w:r>
        <w:t xml:space="preserve"> </w:t>
      </w:r>
      <w:r w:rsidRPr="00B41C07">
        <w:t>Diafiltration is a technique that uses ultrafiltration</w:t>
      </w:r>
      <w:r>
        <w:t xml:space="preserve"> </w:t>
      </w:r>
      <w:r w:rsidRPr="00B41C07">
        <w:t>membranes to completely remove, replace, or</w:t>
      </w:r>
      <w:r>
        <w:t xml:space="preserve"> </w:t>
      </w:r>
      <w:r w:rsidRPr="00B41C07">
        <w:t>lower the concentration of salts or solvents</w:t>
      </w:r>
      <w:r>
        <w:t xml:space="preserve"> </w:t>
      </w:r>
      <w:r w:rsidRPr="00B41C07">
        <w:t>from solutions containing proteins, peptides,</w:t>
      </w:r>
      <w:r>
        <w:t xml:space="preserve"> </w:t>
      </w:r>
      <w:r w:rsidRPr="00B41C07">
        <w:t>nucleic acids, and other biomolecules.</w:t>
      </w:r>
    </w:p>
    <w:p w14:paraId="3C5D6C6F" w14:textId="43AF1E50" w:rsidR="00D67D67" w:rsidRPr="00B5041A" w:rsidRDefault="00D67D6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67EB" w14:textId="77777777" w:rsidR="0021656E" w:rsidRPr="0021656E" w:rsidRDefault="0021656E" w:rsidP="0021656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21656E">
      <w:rPr>
        <w:rFonts w:ascii="Calibri" w:hAnsi="Calibri" w:cs="Calibri"/>
        <w:b/>
        <w:color w:val="F00000"/>
        <w:sz w:val="24"/>
      </w:rPr>
      <w:t>OFFICIAL</w:t>
    </w:r>
  </w:p>
  <w:p w14:paraId="0305AA64" w14:textId="3C636163" w:rsidR="004C068D" w:rsidRPr="0021656E" w:rsidRDefault="0021656E" w:rsidP="0021656E">
    <w:pPr>
      <w:pStyle w:val="Header"/>
      <w:jc w:val="center"/>
    </w:pPr>
    <w:r w:rsidRPr="0021656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D77A" w14:textId="77777777" w:rsidR="0021656E" w:rsidRPr="0021656E" w:rsidRDefault="0021656E" w:rsidP="0021656E">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21656E">
      <w:rPr>
        <w:rFonts w:ascii="Calibri" w:hAnsi="Calibri" w:cs="Calibri"/>
        <w:b/>
        <w:color w:val="F00000"/>
        <w:sz w:val="24"/>
      </w:rPr>
      <w:t>OFFICIAL</w:t>
    </w:r>
  </w:p>
  <w:p w14:paraId="073EED5B" w14:textId="27965404" w:rsidR="004C068D" w:rsidRPr="0021656E" w:rsidRDefault="0021656E" w:rsidP="0021656E">
    <w:pPr>
      <w:pStyle w:val="Header"/>
      <w:jc w:val="center"/>
    </w:pPr>
    <w:r w:rsidRPr="0021656E">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DF83" w14:textId="77777777" w:rsidR="0021656E" w:rsidRPr="0021656E" w:rsidRDefault="0021656E" w:rsidP="0021656E">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21656E">
      <w:rPr>
        <w:rFonts w:ascii="Calibri" w:hAnsi="Calibri" w:cs="Calibri"/>
        <w:b/>
        <w:bCs/>
        <w:color w:val="F00000"/>
        <w:sz w:val="24"/>
      </w:rPr>
      <w:t>OFFICIAL</w:t>
    </w:r>
  </w:p>
  <w:p w14:paraId="241FC073" w14:textId="6CE683D2" w:rsidR="0021656E" w:rsidRDefault="0021656E" w:rsidP="0021656E">
    <w:pPr>
      <w:pStyle w:val="Header"/>
      <w:jc w:val="center"/>
      <w:rPr>
        <w:b/>
        <w:bCs/>
      </w:rPr>
    </w:pPr>
    <w:r w:rsidRPr="0021656E">
      <w:rPr>
        <w:rFonts w:ascii="Calibri" w:hAnsi="Calibri" w:cs="Calibri"/>
        <w:b/>
        <w:bCs/>
        <w:color w:val="F00000"/>
        <w:sz w:val="24"/>
      </w:rPr>
      <w:t xml:space="preserve"> </w:t>
    </w:r>
    <w:r>
      <w:rPr>
        <w:b/>
        <w:bCs/>
      </w:rPr>
      <w:fldChar w:fldCharType="end"/>
    </w:r>
  </w:p>
  <w:p w14:paraId="1E647D49" w14:textId="028E31F9" w:rsidR="00D67D67" w:rsidRDefault="00D67D6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35A"/>
    <w:multiLevelType w:val="hybridMultilevel"/>
    <w:tmpl w:val="84AC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E30BD"/>
    <w:multiLevelType w:val="hybridMultilevel"/>
    <w:tmpl w:val="E558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350A49"/>
    <w:multiLevelType w:val="hybridMultilevel"/>
    <w:tmpl w:val="6F8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B0B05"/>
    <w:multiLevelType w:val="hybridMultilevel"/>
    <w:tmpl w:val="D932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62A7523"/>
    <w:multiLevelType w:val="hybridMultilevel"/>
    <w:tmpl w:val="2508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17B25"/>
    <w:multiLevelType w:val="hybridMultilevel"/>
    <w:tmpl w:val="253A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31C59"/>
    <w:multiLevelType w:val="hybridMultilevel"/>
    <w:tmpl w:val="F4005A8C"/>
    <w:lvl w:ilvl="0" w:tplc="08090001">
      <w:start w:val="1"/>
      <w:numFmt w:val="bullet"/>
      <w:lvlText w:val=""/>
      <w:lvlJc w:val="left"/>
      <w:pPr>
        <w:ind w:left="720" w:hanging="360"/>
      </w:pPr>
      <w:rPr>
        <w:rFonts w:ascii="Symbol" w:hAnsi="Symbol" w:hint="default"/>
      </w:rPr>
    </w:lvl>
    <w:lvl w:ilvl="1" w:tplc="4A5037A0">
      <w:numFmt w:val="bullet"/>
      <w:lvlText w:val="•"/>
      <w:lvlJc w:val="left"/>
      <w:pPr>
        <w:ind w:left="1440" w:hanging="360"/>
      </w:pPr>
      <w:rPr>
        <w:rFonts w:ascii="CIDFont+F1" w:eastAsia="Times New Roman" w:hAnsi="CIDFont+F1" w:cs="CIDFont+F1"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E06CA"/>
    <w:multiLevelType w:val="hybridMultilevel"/>
    <w:tmpl w:val="343C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
  </w:num>
  <w:num w:numId="5">
    <w:abstractNumId w:val="18"/>
  </w:num>
  <w:num w:numId="6">
    <w:abstractNumId w:val="10"/>
  </w:num>
  <w:num w:numId="7">
    <w:abstractNumId w:val="3"/>
  </w:num>
  <w:num w:numId="8">
    <w:abstractNumId w:val="7"/>
  </w:num>
  <w:num w:numId="9">
    <w:abstractNumId w:val="19"/>
  </w:num>
  <w:num w:numId="10">
    <w:abstractNumId w:val="8"/>
  </w:num>
  <w:num w:numId="11">
    <w:abstractNumId w:val="5"/>
  </w:num>
  <w:num w:numId="12">
    <w:abstractNumId w:val="16"/>
  </w:num>
  <w:num w:numId="13">
    <w:abstractNumId w:val="8"/>
  </w:num>
  <w:num w:numId="14">
    <w:abstractNumId w:val="15"/>
  </w:num>
  <w:num w:numId="15">
    <w:abstractNumId w:val="0"/>
  </w:num>
  <w:num w:numId="16">
    <w:abstractNumId w:val="11"/>
  </w:num>
  <w:num w:numId="17">
    <w:abstractNumId w:val="4"/>
  </w:num>
  <w:num w:numId="18">
    <w:abstractNumId w:val="17"/>
  </w:num>
  <w:num w:numId="19">
    <w:abstractNumId w:val="14"/>
  </w:num>
  <w:num w:numId="20">
    <w:abstractNumId w:val="9"/>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4A7"/>
    <w:rsid w:val="00011015"/>
    <w:rsid w:val="00023867"/>
    <w:rsid w:val="000259C1"/>
    <w:rsid w:val="0003276E"/>
    <w:rsid w:val="00034296"/>
    <w:rsid w:val="00035F1F"/>
    <w:rsid w:val="00035FF3"/>
    <w:rsid w:val="00040779"/>
    <w:rsid w:val="00040D6E"/>
    <w:rsid w:val="00043522"/>
    <w:rsid w:val="000448CC"/>
    <w:rsid w:val="00047453"/>
    <w:rsid w:val="00047724"/>
    <w:rsid w:val="00050A2F"/>
    <w:rsid w:val="00051021"/>
    <w:rsid w:val="000517D0"/>
    <w:rsid w:val="00051ED9"/>
    <w:rsid w:val="000544D6"/>
    <w:rsid w:val="00054E1D"/>
    <w:rsid w:val="000560D8"/>
    <w:rsid w:val="00057181"/>
    <w:rsid w:val="000617BD"/>
    <w:rsid w:val="00062989"/>
    <w:rsid w:val="0006473A"/>
    <w:rsid w:val="00064B2D"/>
    <w:rsid w:val="00065F1F"/>
    <w:rsid w:val="00066184"/>
    <w:rsid w:val="000666C8"/>
    <w:rsid w:val="00067084"/>
    <w:rsid w:val="0007321E"/>
    <w:rsid w:val="00076D33"/>
    <w:rsid w:val="00087EFA"/>
    <w:rsid w:val="00092CDA"/>
    <w:rsid w:val="00093855"/>
    <w:rsid w:val="00095A54"/>
    <w:rsid w:val="00097A77"/>
    <w:rsid w:val="000A14E9"/>
    <w:rsid w:val="000A2036"/>
    <w:rsid w:val="000A27E9"/>
    <w:rsid w:val="000A3D8B"/>
    <w:rsid w:val="000A3FCD"/>
    <w:rsid w:val="000A5DF8"/>
    <w:rsid w:val="000A62C3"/>
    <w:rsid w:val="000A77E3"/>
    <w:rsid w:val="000B30A6"/>
    <w:rsid w:val="000B5751"/>
    <w:rsid w:val="000B594B"/>
    <w:rsid w:val="000B6AF2"/>
    <w:rsid w:val="000C012C"/>
    <w:rsid w:val="000C01B3"/>
    <w:rsid w:val="000C29B0"/>
    <w:rsid w:val="000C4E5F"/>
    <w:rsid w:val="000D01CE"/>
    <w:rsid w:val="000D1E53"/>
    <w:rsid w:val="000D21FF"/>
    <w:rsid w:val="000D2D82"/>
    <w:rsid w:val="000D6FD4"/>
    <w:rsid w:val="000E0AE4"/>
    <w:rsid w:val="000E3DAE"/>
    <w:rsid w:val="000E3DBC"/>
    <w:rsid w:val="000E4EBA"/>
    <w:rsid w:val="000F3894"/>
    <w:rsid w:val="000F403E"/>
    <w:rsid w:val="000F4D87"/>
    <w:rsid w:val="000F660B"/>
    <w:rsid w:val="00102AFE"/>
    <w:rsid w:val="0010409F"/>
    <w:rsid w:val="00105179"/>
    <w:rsid w:val="00113C05"/>
    <w:rsid w:val="00113CE3"/>
    <w:rsid w:val="001142BF"/>
    <w:rsid w:val="00117522"/>
    <w:rsid w:val="00125694"/>
    <w:rsid w:val="001261C2"/>
    <w:rsid w:val="00130CBE"/>
    <w:rsid w:val="00132E08"/>
    <w:rsid w:val="00135005"/>
    <w:rsid w:val="001401AA"/>
    <w:rsid w:val="00140648"/>
    <w:rsid w:val="0014262F"/>
    <w:rsid w:val="001457F6"/>
    <w:rsid w:val="00145D51"/>
    <w:rsid w:val="00146E8B"/>
    <w:rsid w:val="001516A3"/>
    <w:rsid w:val="001542D8"/>
    <w:rsid w:val="00157F9F"/>
    <w:rsid w:val="00160B70"/>
    <w:rsid w:val="00161F43"/>
    <w:rsid w:val="001659C6"/>
    <w:rsid w:val="00166922"/>
    <w:rsid w:val="00167F19"/>
    <w:rsid w:val="0017706A"/>
    <w:rsid w:val="00180C41"/>
    <w:rsid w:val="0018225E"/>
    <w:rsid w:val="00182C4C"/>
    <w:rsid w:val="00185534"/>
    <w:rsid w:val="001918C0"/>
    <w:rsid w:val="00192CD0"/>
    <w:rsid w:val="001939D3"/>
    <w:rsid w:val="00194A1B"/>
    <w:rsid w:val="00194C3E"/>
    <w:rsid w:val="00197D8D"/>
    <w:rsid w:val="001A1A75"/>
    <w:rsid w:val="001A592B"/>
    <w:rsid w:val="001A6987"/>
    <w:rsid w:val="001A7E9A"/>
    <w:rsid w:val="001B017C"/>
    <w:rsid w:val="001B2582"/>
    <w:rsid w:val="001B2B19"/>
    <w:rsid w:val="001C2038"/>
    <w:rsid w:val="001C27A3"/>
    <w:rsid w:val="001C386B"/>
    <w:rsid w:val="001C3A1C"/>
    <w:rsid w:val="001C3CD3"/>
    <w:rsid w:val="001C5295"/>
    <w:rsid w:val="001C5888"/>
    <w:rsid w:val="001C676E"/>
    <w:rsid w:val="001C6A54"/>
    <w:rsid w:val="001D22D2"/>
    <w:rsid w:val="001D5CA6"/>
    <w:rsid w:val="001E09FA"/>
    <w:rsid w:val="001E0C87"/>
    <w:rsid w:val="001E1E9F"/>
    <w:rsid w:val="001E53AA"/>
    <w:rsid w:val="001E604D"/>
    <w:rsid w:val="001E6935"/>
    <w:rsid w:val="001E6A7B"/>
    <w:rsid w:val="001F0C6D"/>
    <w:rsid w:val="001F1CD6"/>
    <w:rsid w:val="001F2503"/>
    <w:rsid w:val="001F3D7E"/>
    <w:rsid w:val="001F6177"/>
    <w:rsid w:val="001F72D1"/>
    <w:rsid w:val="001F74B6"/>
    <w:rsid w:val="00203540"/>
    <w:rsid w:val="00204AC3"/>
    <w:rsid w:val="0020615A"/>
    <w:rsid w:val="002066D8"/>
    <w:rsid w:val="00211FF1"/>
    <w:rsid w:val="00213241"/>
    <w:rsid w:val="00214859"/>
    <w:rsid w:val="002151FE"/>
    <w:rsid w:val="0021612B"/>
    <w:rsid w:val="0021656E"/>
    <w:rsid w:val="0022083A"/>
    <w:rsid w:val="00221D07"/>
    <w:rsid w:val="00225167"/>
    <w:rsid w:val="00227E4A"/>
    <w:rsid w:val="00241106"/>
    <w:rsid w:val="0024398C"/>
    <w:rsid w:val="002440F5"/>
    <w:rsid w:val="00244E5B"/>
    <w:rsid w:val="0024539E"/>
    <w:rsid w:val="0024582E"/>
    <w:rsid w:val="00245C56"/>
    <w:rsid w:val="00250082"/>
    <w:rsid w:val="002519C8"/>
    <w:rsid w:val="002547EF"/>
    <w:rsid w:val="00256D65"/>
    <w:rsid w:val="00265D02"/>
    <w:rsid w:val="00271F00"/>
    <w:rsid w:val="00273A80"/>
    <w:rsid w:val="00273AB2"/>
    <w:rsid w:val="00275C84"/>
    <w:rsid w:val="002811F4"/>
    <w:rsid w:val="002836C0"/>
    <w:rsid w:val="00283783"/>
    <w:rsid w:val="00285CF5"/>
    <w:rsid w:val="00287CCB"/>
    <w:rsid w:val="00290E1E"/>
    <w:rsid w:val="0029204E"/>
    <w:rsid w:val="002926FF"/>
    <w:rsid w:val="002942C5"/>
    <w:rsid w:val="00294382"/>
    <w:rsid w:val="0029631C"/>
    <w:rsid w:val="00296841"/>
    <w:rsid w:val="002A0194"/>
    <w:rsid w:val="002A3314"/>
    <w:rsid w:val="002A5F8B"/>
    <w:rsid w:val="002A77F4"/>
    <w:rsid w:val="002A7F6C"/>
    <w:rsid w:val="002B10CA"/>
    <w:rsid w:val="002B5037"/>
    <w:rsid w:val="002B5881"/>
    <w:rsid w:val="002B59CF"/>
    <w:rsid w:val="002C5264"/>
    <w:rsid w:val="002C74C0"/>
    <w:rsid w:val="002D0994"/>
    <w:rsid w:val="002D409B"/>
    <w:rsid w:val="002D65B6"/>
    <w:rsid w:val="002D6809"/>
    <w:rsid w:val="002D711B"/>
    <w:rsid w:val="002E1922"/>
    <w:rsid w:val="002E3F15"/>
    <w:rsid w:val="002E6AC7"/>
    <w:rsid w:val="002E740B"/>
    <w:rsid w:val="002F27B6"/>
    <w:rsid w:val="002F52C9"/>
    <w:rsid w:val="002F6488"/>
    <w:rsid w:val="00300F70"/>
    <w:rsid w:val="00302F66"/>
    <w:rsid w:val="0031203C"/>
    <w:rsid w:val="00312699"/>
    <w:rsid w:val="00314167"/>
    <w:rsid w:val="0031462B"/>
    <w:rsid w:val="00320839"/>
    <w:rsid w:val="003213F9"/>
    <w:rsid w:val="003235C3"/>
    <w:rsid w:val="00323DBF"/>
    <w:rsid w:val="00326D85"/>
    <w:rsid w:val="003304EA"/>
    <w:rsid w:val="003309A8"/>
    <w:rsid w:val="00332B12"/>
    <w:rsid w:val="0033375E"/>
    <w:rsid w:val="003370AE"/>
    <w:rsid w:val="00340EB7"/>
    <w:rsid w:val="00341494"/>
    <w:rsid w:val="00342B94"/>
    <w:rsid w:val="003473FC"/>
    <w:rsid w:val="0035149D"/>
    <w:rsid w:val="00351B07"/>
    <w:rsid w:val="00352CF2"/>
    <w:rsid w:val="003646AE"/>
    <w:rsid w:val="00364841"/>
    <w:rsid w:val="0037063D"/>
    <w:rsid w:val="00371B29"/>
    <w:rsid w:val="0037210D"/>
    <w:rsid w:val="00375EFC"/>
    <w:rsid w:val="0037656B"/>
    <w:rsid w:val="00377A6B"/>
    <w:rsid w:val="00385E10"/>
    <w:rsid w:val="00385EFD"/>
    <w:rsid w:val="00391335"/>
    <w:rsid w:val="00391769"/>
    <w:rsid w:val="00391BA0"/>
    <w:rsid w:val="003926FE"/>
    <w:rsid w:val="003953E1"/>
    <w:rsid w:val="003956B3"/>
    <w:rsid w:val="003962EB"/>
    <w:rsid w:val="003977D6"/>
    <w:rsid w:val="003A2252"/>
    <w:rsid w:val="003A2BB7"/>
    <w:rsid w:val="003A68BE"/>
    <w:rsid w:val="003A6A37"/>
    <w:rsid w:val="003B0861"/>
    <w:rsid w:val="003B1805"/>
    <w:rsid w:val="003B1F0D"/>
    <w:rsid w:val="003B1F27"/>
    <w:rsid w:val="003B2C60"/>
    <w:rsid w:val="003B3C9D"/>
    <w:rsid w:val="003B78E0"/>
    <w:rsid w:val="003C1F1D"/>
    <w:rsid w:val="003C3475"/>
    <w:rsid w:val="003C35AA"/>
    <w:rsid w:val="003C4969"/>
    <w:rsid w:val="003D0B95"/>
    <w:rsid w:val="003D6AFE"/>
    <w:rsid w:val="003E264A"/>
    <w:rsid w:val="003E41D5"/>
    <w:rsid w:val="003E4482"/>
    <w:rsid w:val="003E46BA"/>
    <w:rsid w:val="003E57B5"/>
    <w:rsid w:val="003E7A60"/>
    <w:rsid w:val="003E7D22"/>
    <w:rsid w:val="003F3F14"/>
    <w:rsid w:val="003F74C1"/>
    <w:rsid w:val="003F76D1"/>
    <w:rsid w:val="00401F01"/>
    <w:rsid w:val="00404AE7"/>
    <w:rsid w:val="00405B1A"/>
    <w:rsid w:val="00410C76"/>
    <w:rsid w:val="00411907"/>
    <w:rsid w:val="00413CA8"/>
    <w:rsid w:val="00413F41"/>
    <w:rsid w:val="00414D49"/>
    <w:rsid w:val="00417EE3"/>
    <w:rsid w:val="004207EB"/>
    <w:rsid w:val="00422CA4"/>
    <w:rsid w:val="004269C1"/>
    <w:rsid w:val="00435466"/>
    <w:rsid w:val="0043669C"/>
    <w:rsid w:val="00437276"/>
    <w:rsid w:val="00443A9D"/>
    <w:rsid w:val="004443A1"/>
    <w:rsid w:val="00444A24"/>
    <w:rsid w:val="0044565B"/>
    <w:rsid w:val="00451BFF"/>
    <w:rsid w:val="00456B54"/>
    <w:rsid w:val="004629A9"/>
    <w:rsid w:val="00464643"/>
    <w:rsid w:val="0046617A"/>
    <w:rsid w:val="00471BAE"/>
    <w:rsid w:val="0047616E"/>
    <w:rsid w:val="00480204"/>
    <w:rsid w:val="00486793"/>
    <w:rsid w:val="0049464A"/>
    <w:rsid w:val="00496A05"/>
    <w:rsid w:val="004A2037"/>
    <w:rsid w:val="004A44F1"/>
    <w:rsid w:val="004A47BB"/>
    <w:rsid w:val="004A4892"/>
    <w:rsid w:val="004A49AE"/>
    <w:rsid w:val="004A4AA2"/>
    <w:rsid w:val="004A6A98"/>
    <w:rsid w:val="004B00F6"/>
    <w:rsid w:val="004B034A"/>
    <w:rsid w:val="004B2447"/>
    <w:rsid w:val="004B42C8"/>
    <w:rsid w:val="004B63D9"/>
    <w:rsid w:val="004C068D"/>
    <w:rsid w:val="004C06B5"/>
    <w:rsid w:val="004C2CE7"/>
    <w:rsid w:val="004C4CCD"/>
    <w:rsid w:val="004C644D"/>
    <w:rsid w:val="004E385A"/>
    <w:rsid w:val="004E3D17"/>
    <w:rsid w:val="004E4151"/>
    <w:rsid w:val="004E41F7"/>
    <w:rsid w:val="004E5165"/>
    <w:rsid w:val="004E730E"/>
    <w:rsid w:val="004F2192"/>
    <w:rsid w:val="004F45FE"/>
    <w:rsid w:val="004F4F98"/>
    <w:rsid w:val="004F508D"/>
    <w:rsid w:val="004F69F6"/>
    <w:rsid w:val="004F79AC"/>
    <w:rsid w:val="005017CF"/>
    <w:rsid w:val="00505AC5"/>
    <w:rsid w:val="005071E5"/>
    <w:rsid w:val="00512606"/>
    <w:rsid w:val="00513673"/>
    <w:rsid w:val="00514DE9"/>
    <w:rsid w:val="005207D8"/>
    <w:rsid w:val="00523039"/>
    <w:rsid w:val="005303AE"/>
    <w:rsid w:val="00530714"/>
    <w:rsid w:val="005326D5"/>
    <w:rsid w:val="00534143"/>
    <w:rsid w:val="005345AA"/>
    <w:rsid w:val="0053464E"/>
    <w:rsid w:val="00534AC2"/>
    <w:rsid w:val="00537C7B"/>
    <w:rsid w:val="00537D0A"/>
    <w:rsid w:val="0054272D"/>
    <w:rsid w:val="0054759D"/>
    <w:rsid w:val="00547C95"/>
    <w:rsid w:val="00550E3D"/>
    <w:rsid w:val="00551114"/>
    <w:rsid w:val="005550F4"/>
    <w:rsid w:val="00562917"/>
    <w:rsid w:val="00562FEA"/>
    <w:rsid w:val="00572BCF"/>
    <w:rsid w:val="005735D5"/>
    <w:rsid w:val="0057546F"/>
    <w:rsid w:val="0057615C"/>
    <w:rsid w:val="00576406"/>
    <w:rsid w:val="00577FE1"/>
    <w:rsid w:val="00581A11"/>
    <w:rsid w:val="00581BDB"/>
    <w:rsid w:val="00582128"/>
    <w:rsid w:val="00585B00"/>
    <w:rsid w:val="00586228"/>
    <w:rsid w:val="00591DE6"/>
    <w:rsid w:val="00595AE8"/>
    <w:rsid w:val="00595C14"/>
    <w:rsid w:val="005A0A2B"/>
    <w:rsid w:val="005A1D97"/>
    <w:rsid w:val="005A28BA"/>
    <w:rsid w:val="005A58F3"/>
    <w:rsid w:val="005B2BB4"/>
    <w:rsid w:val="005B3EDD"/>
    <w:rsid w:val="005B6AF4"/>
    <w:rsid w:val="005B7A73"/>
    <w:rsid w:val="005C04CB"/>
    <w:rsid w:val="005C0C87"/>
    <w:rsid w:val="005C160C"/>
    <w:rsid w:val="005C1C51"/>
    <w:rsid w:val="005C552F"/>
    <w:rsid w:val="005D16AD"/>
    <w:rsid w:val="005D18D8"/>
    <w:rsid w:val="005D63C8"/>
    <w:rsid w:val="005D72E1"/>
    <w:rsid w:val="005E08E0"/>
    <w:rsid w:val="005E150C"/>
    <w:rsid w:val="005E1704"/>
    <w:rsid w:val="005E2C43"/>
    <w:rsid w:val="005E3364"/>
    <w:rsid w:val="005E6E16"/>
    <w:rsid w:val="005F0223"/>
    <w:rsid w:val="005F022B"/>
    <w:rsid w:val="005F034D"/>
    <w:rsid w:val="005F0D5E"/>
    <w:rsid w:val="005F400E"/>
    <w:rsid w:val="005F4162"/>
    <w:rsid w:val="005F5C7D"/>
    <w:rsid w:val="005F6C6F"/>
    <w:rsid w:val="005F7342"/>
    <w:rsid w:val="00600306"/>
    <w:rsid w:val="00600A07"/>
    <w:rsid w:val="00603A08"/>
    <w:rsid w:val="006050D4"/>
    <w:rsid w:val="0061068F"/>
    <w:rsid w:val="00610A3C"/>
    <w:rsid w:val="00612A98"/>
    <w:rsid w:val="00612E94"/>
    <w:rsid w:val="0061383B"/>
    <w:rsid w:val="00613E71"/>
    <w:rsid w:val="006145EC"/>
    <w:rsid w:val="00615612"/>
    <w:rsid w:val="006176FC"/>
    <w:rsid w:val="006179AE"/>
    <w:rsid w:val="006251EE"/>
    <w:rsid w:val="006277F5"/>
    <w:rsid w:val="00627F48"/>
    <w:rsid w:val="0063057C"/>
    <w:rsid w:val="00630C23"/>
    <w:rsid w:val="00632E29"/>
    <w:rsid w:val="00633A36"/>
    <w:rsid w:val="006359E9"/>
    <w:rsid w:val="00640C6C"/>
    <w:rsid w:val="00640C77"/>
    <w:rsid w:val="00642DBD"/>
    <w:rsid w:val="00643D45"/>
    <w:rsid w:val="00644504"/>
    <w:rsid w:val="006460AB"/>
    <w:rsid w:val="0065740D"/>
    <w:rsid w:val="00662E7B"/>
    <w:rsid w:val="006638A5"/>
    <w:rsid w:val="00663FCF"/>
    <w:rsid w:val="006652A2"/>
    <w:rsid w:val="00670308"/>
    <w:rsid w:val="00675745"/>
    <w:rsid w:val="006768F2"/>
    <w:rsid w:val="006818F2"/>
    <w:rsid w:val="00685C7E"/>
    <w:rsid w:val="00690206"/>
    <w:rsid w:val="00691270"/>
    <w:rsid w:val="0069360D"/>
    <w:rsid w:val="006937FF"/>
    <w:rsid w:val="00693870"/>
    <w:rsid w:val="00694116"/>
    <w:rsid w:val="00696F27"/>
    <w:rsid w:val="006A0C23"/>
    <w:rsid w:val="006A132A"/>
    <w:rsid w:val="006A1413"/>
    <w:rsid w:val="006A1E1D"/>
    <w:rsid w:val="006A2E22"/>
    <w:rsid w:val="006A3780"/>
    <w:rsid w:val="006A48A7"/>
    <w:rsid w:val="006B2979"/>
    <w:rsid w:val="006B348D"/>
    <w:rsid w:val="006B4BA1"/>
    <w:rsid w:val="006B5EBE"/>
    <w:rsid w:val="006C0E66"/>
    <w:rsid w:val="006C2320"/>
    <w:rsid w:val="006C25FE"/>
    <w:rsid w:val="006C5CF5"/>
    <w:rsid w:val="006C6B31"/>
    <w:rsid w:val="006D011E"/>
    <w:rsid w:val="006D6551"/>
    <w:rsid w:val="006D6ECE"/>
    <w:rsid w:val="006E3C4B"/>
    <w:rsid w:val="006E6B57"/>
    <w:rsid w:val="006F0240"/>
    <w:rsid w:val="006F4A82"/>
    <w:rsid w:val="007035D4"/>
    <w:rsid w:val="0070373B"/>
    <w:rsid w:val="00704110"/>
    <w:rsid w:val="00704D7B"/>
    <w:rsid w:val="007100EB"/>
    <w:rsid w:val="0071305C"/>
    <w:rsid w:val="007159D8"/>
    <w:rsid w:val="00720214"/>
    <w:rsid w:val="00720351"/>
    <w:rsid w:val="007217FF"/>
    <w:rsid w:val="0072301D"/>
    <w:rsid w:val="007248A2"/>
    <w:rsid w:val="00724FA4"/>
    <w:rsid w:val="007259A1"/>
    <w:rsid w:val="00730024"/>
    <w:rsid w:val="007307D6"/>
    <w:rsid w:val="00730800"/>
    <w:rsid w:val="00732695"/>
    <w:rsid w:val="00732FA0"/>
    <w:rsid w:val="00734359"/>
    <w:rsid w:val="0073651F"/>
    <w:rsid w:val="0074107C"/>
    <w:rsid w:val="0074388F"/>
    <w:rsid w:val="00747D3B"/>
    <w:rsid w:val="00750E24"/>
    <w:rsid w:val="007514AA"/>
    <w:rsid w:val="00752EB4"/>
    <w:rsid w:val="007602AA"/>
    <w:rsid w:val="00764218"/>
    <w:rsid w:val="0076495C"/>
    <w:rsid w:val="007652EF"/>
    <w:rsid w:val="007666D8"/>
    <w:rsid w:val="007728F6"/>
    <w:rsid w:val="00772BDC"/>
    <w:rsid w:val="007730B5"/>
    <w:rsid w:val="00773409"/>
    <w:rsid w:val="00774F02"/>
    <w:rsid w:val="00777538"/>
    <w:rsid w:val="00780792"/>
    <w:rsid w:val="007846A2"/>
    <w:rsid w:val="007954BE"/>
    <w:rsid w:val="00796562"/>
    <w:rsid w:val="007A04CF"/>
    <w:rsid w:val="007A2BEB"/>
    <w:rsid w:val="007A39E8"/>
    <w:rsid w:val="007A44B4"/>
    <w:rsid w:val="007A5456"/>
    <w:rsid w:val="007A7D3D"/>
    <w:rsid w:val="007B10E7"/>
    <w:rsid w:val="007B1263"/>
    <w:rsid w:val="007B225D"/>
    <w:rsid w:val="007B44C0"/>
    <w:rsid w:val="007B4D09"/>
    <w:rsid w:val="007B5BA2"/>
    <w:rsid w:val="007C174F"/>
    <w:rsid w:val="007C1C64"/>
    <w:rsid w:val="007C22FC"/>
    <w:rsid w:val="007C34BC"/>
    <w:rsid w:val="007C444D"/>
    <w:rsid w:val="007C7FB1"/>
    <w:rsid w:val="007D03EA"/>
    <w:rsid w:val="007D6A40"/>
    <w:rsid w:val="007D7491"/>
    <w:rsid w:val="007E04C4"/>
    <w:rsid w:val="007E24F8"/>
    <w:rsid w:val="007E2C9F"/>
    <w:rsid w:val="007E316A"/>
    <w:rsid w:val="007E41C5"/>
    <w:rsid w:val="007E48BC"/>
    <w:rsid w:val="007E5713"/>
    <w:rsid w:val="007E6F98"/>
    <w:rsid w:val="007E79F7"/>
    <w:rsid w:val="007E7C94"/>
    <w:rsid w:val="007F3630"/>
    <w:rsid w:val="007F3635"/>
    <w:rsid w:val="007F7C04"/>
    <w:rsid w:val="00801784"/>
    <w:rsid w:val="00802EE2"/>
    <w:rsid w:val="00803CB3"/>
    <w:rsid w:val="008060DD"/>
    <w:rsid w:val="00807559"/>
    <w:rsid w:val="008127D5"/>
    <w:rsid w:val="008167F4"/>
    <w:rsid w:val="00823284"/>
    <w:rsid w:val="008250F0"/>
    <w:rsid w:val="008342CD"/>
    <w:rsid w:val="00840186"/>
    <w:rsid w:val="00844119"/>
    <w:rsid w:val="008450BC"/>
    <w:rsid w:val="008461F5"/>
    <w:rsid w:val="00852697"/>
    <w:rsid w:val="0085334B"/>
    <w:rsid w:val="00856936"/>
    <w:rsid w:val="008648F7"/>
    <w:rsid w:val="008651BF"/>
    <w:rsid w:val="0086532D"/>
    <w:rsid w:val="00865DB2"/>
    <w:rsid w:val="00866CAA"/>
    <w:rsid w:val="00870214"/>
    <w:rsid w:val="00872B5E"/>
    <w:rsid w:val="00872C63"/>
    <w:rsid w:val="00874633"/>
    <w:rsid w:val="00882FF2"/>
    <w:rsid w:val="00885C51"/>
    <w:rsid w:val="00885EB0"/>
    <w:rsid w:val="00886CEF"/>
    <w:rsid w:val="00890C2D"/>
    <w:rsid w:val="00891F4B"/>
    <w:rsid w:val="0089264A"/>
    <w:rsid w:val="00892818"/>
    <w:rsid w:val="00896B85"/>
    <w:rsid w:val="00896DEE"/>
    <w:rsid w:val="008A22BE"/>
    <w:rsid w:val="008A4188"/>
    <w:rsid w:val="008A425B"/>
    <w:rsid w:val="008A46D5"/>
    <w:rsid w:val="008A4CB7"/>
    <w:rsid w:val="008B2D8A"/>
    <w:rsid w:val="008B3962"/>
    <w:rsid w:val="008B4596"/>
    <w:rsid w:val="008B6147"/>
    <w:rsid w:val="008B6B30"/>
    <w:rsid w:val="008C06E0"/>
    <w:rsid w:val="008C1B36"/>
    <w:rsid w:val="008C7B55"/>
    <w:rsid w:val="008D0084"/>
    <w:rsid w:val="008D06C6"/>
    <w:rsid w:val="008D12BB"/>
    <w:rsid w:val="008D26D6"/>
    <w:rsid w:val="008D5E4E"/>
    <w:rsid w:val="008E0119"/>
    <w:rsid w:val="008E6250"/>
    <w:rsid w:val="008F0779"/>
    <w:rsid w:val="008F1293"/>
    <w:rsid w:val="008F3521"/>
    <w:rsid w:val="008F4E5D"/>
    <w:rsid w:val="008F5D0C"/>
    <w:rsid w:val="008F78BE"/>
    <w:rsid w:val="008F791C"/>
    <w:rsid w:val="00902AF6"/>
    <w:rsid w:val="0090347F"/>
    <w:rsid w:val="0090506F"/>
    <w:rsid w:val="00912847"/>
    <w:rsid w:val="00912AD0"/>
    <w:rsid w:val="00914182"/>
    <w:rsid w:val="00920249"/>
    <w:rsid w:val="00920FAF"/>
    <w:rsid w:val="00923B2F"/>
    <w:rsid w:val="00923EDE"/>
    <w:rsid w:val="00924C80"/>
    <w:rsid w:val="009265A3"/>
    <w:rsid w:val="00932F14"/>
    <w:rsid w:val="00933450"/>
    <w:rsid w:val="0093512D"/>
    <w:rsid w:val="00935F25"/>
    <w:rsid w:val="00937094"/>
    <w:rsid w:val="00937651"/>
    <w:rsid w:val="00940FC8"/>
    <w:rsid w:val="0094247F"/>
    <w:rsid w:val="0094290D"/>
    <w:rsid w:val="00942D60"/>
    <w:rsid w:val="00943001"/>
    <w:rsid w:val="00945251"/>
    <w:rsid w:val="00946DEC"/>
    <w:rsid w:val="00947B67"/>
    <w:rsid w:val="009503E1"/>
    <w:rsid w:val="009526FC"/>
    <w:rsid w:val="00955B47"/>
    <w:rsid w:val="00956BDD"/>
    <w:rsid w:val="0095712B"/>
    <w:rsid w:val="00957317"/>
    <w:rsid w:val="0096523B"/>
    <w:rsid w:val="00966EE3"/>
    <w:rsid w:val="00970CFA"/>
    <w:rsid w:val="00972D06"/>
    <w:rsid w:val="0097451A"/>
    <w:rsid w:val="00975085"/>
    <w:rsid w:val="0097547C"/>
    <w:rsid w:val="00976B59"/>
    <w:rsid w:val="00982038"/>
    <w:rsid w:val="009823B2"/>
    <w:rsid w:val="0098487D"/>
    <w:rsid w:val="0098490C"/>
    <w:rsid w:val="0098537B"/>
    <w:rsid w:val="009857E5"/>
    <w:rsid w:val="00985DD0"/>
    <w:rsid w:val="009871FD"/>
    <w:rsid w:val="00987CC1"/>
    <w:rsid w:val="00987E59"/>
    <w:rsid w:val="009A0756"/>
    <w:rsid w:val="009A391C"/>
    <w:rsid w:val="009A50F2"/>
    <w:rsid w:val="009A6EB7"/>
    <w:rsid w:val="009B229A"/>
    <w:rsid w:val="009B2A55"/>
    <w:rsid w:val="009B3022"/>
    <w:rsid w:val="009C1E49"/>
    <w:rsid w:val="009C2F65"/>
    <w:rsid w:val="009C5835"/>
    <w:rsid w:val="009C5D04"/>
    <w:rsid w:val="009C7293"/>
    <w:rsid w:val="009D15CF"/>
    <w:rsid w:val="009D1F6E"/>
    <w:rsid w:val="009E0576"/>
    <w:rsid w:val="009E0A61"/>
    <w:rsid w:val="009E2A08"/>
    <w:rsid w:val="009E3010"/>
    <w:rsid w:val="009E44BF"/>
    <w:rsid w:val="009E6F85"/>
    <w:rsid w:val="009F007E"/>
    <w:rsid w:val="009F0CD4"/>
    <w:rsid w:val="009F1176"/>
    <w:rsid w:val="009F288E"/>
    <w:rsid w:val="009F7065"/>
    <w:rsid w:val="009F76B5"/>
    <w:rsid w:val="00A006DD"/>
    <w:rsid w:val="00A067E4"/>
    <w:rsid w:val="00A077AF"/>
    <w:rsid w:val="00A07F54"/>
    <w:rsid w:val="00A108CB"/>
    <w:rsid w:val="00A13C55"/>
    <w:rsid w:val="00A151F1"/>
    <w:rsid w:val="00A152D1"/>
    <w:rsid w:val="00A1616A"/>
    <w:rsid w:val="00A16FEA"/>
    <w:rsid w:val="00A21931"/>
    <w:rsid w:val="00A226BE"/>
    <w:rsid w:val="00A26150"/>
    <w:rsid w:val="00A2673E"/>
    <w:rsid w:val="00A27C01"/>
    <w:rsid w:val="00A30707"/>
    <w:rsid w:val="00A31438"/>
    <w:rsid w:val="00A316EA"/>
    <w:rsid w:val="00A35EC6"/>
    <w:rsid w:val="00A36170"/>
    <w:rsid w:val="00A4175D"/>
    <w:rsid w:val="00A44F9E"/>
    <w:rsid w:val="00A4525C"/>
    <w:rsid w:val="00A46A9D"/>
    <w:rsid w:val="00A47DE4"/>
    <w:rsid w:val="00A5055F"/>
    <w:rsid w:val="00A539A7"/>
    <w:rsid w:val="00A54151"/>
    <w:rsid w:val="00A54DA7"/>
    <w:rsid w:val="00A56DC7"/>
    <w:rsid w:val="00A60AE1"/>
    <w:rsid w:val="00A6194F"/>
    <w:rsid w:val="00A61B3A"/>
    <w:rsid w:val="00A63653"/>
    <w:rsid w:val="00A65174"/>
    <w:rsid w:val="00A65369"/>
    <w:rsid w:val="00A65F19"/>
    <w:rsid w:val="00A74FD1"/>
    <w:rsid w:val="00A76708"/>
    <w:rsid w:val="00A77BFA"/>
    <w:rsid w:val="00A80E66"/>
    <w:rsid w:val="00A83E03"/>
    <w:rsid w:val="00A84A58"/>
    <w:rsid w:val="00A84FE5"/>
    <w:rsid w:val="00A86CAC"/>
    <w:rsid w:val="00A87F9F"/>
    <w:rsid w:val="00A90024"/>
    <w:rsid w:val="00A924F6"/>
    <w:rsid w:val="00AA19C3"/>
    <w:rsid w:val="00AA4C55"/>
    <w:rsid w:val="00AA7751"/>
    <w:rsid w:val="00AA78CC"/>
    <w:rsid w:val="00AB3F54"/>
    <w:rsid w:val="00AB45B1"/>
    <w:rsid w:val="00AB47E7"/>
    <w:rsid w:val="00AC0D82"/>
    <w:rsid w:val="00AC1476"/>
    <w:rsid w:val="00AC188D"/>
    <w:rsid w:val="00AC2C0B"/>
    <w:rsid w:val="00AD0BA9"/>
    <w:rsid w:val="00AD47EB"/>
    <w:rsid w:val="00AD6D33"/>
    <w:rsid w:val="00AD6F84"/>
    <w:rsid w:val="00AE232D"/>
    <w:rsid w:val="00AE7C70"/>
    <w:rsid w:val="00AF0509"/>
    <w:rsid w:val="00AF06FC"/>
    <w:rsid w:val="00AF3391"/>
    <w:rsid w:val="00AF387F"/>
    <w:rsid w:val="00AF65C3"/>
    <w:rsid w:val="00AF723B"/>
    <w:rsid w:val="00B00E7F"/>
    <w:rsid w:val="00B07110"/>
    <w:rsid w:val="00B102F1"/>
    <w:rsid w:val="00B12962"/>
    <w:rsid w:val="00B12F1E"/>
    <w:rsid w:val="00B15FD9"/>
    <w:rsid w:val="00B173DA"/>
    <w:rsid w:val="00B21DCC"/>
    <w:rsid w:val="00B25F37"/>
    <w:rsid w:val="00B26714"/>
    <w:rsid w:val="00B30CFE"/>
    <w:rsid w:val="00B30E51"/>
    <w:rsid w:val="00B3442C"/>
    <w:rsid w:val="00B37BF0"/>
    <w:rsid w:val="00B4158A"/>
    <w:rsid w:val="00B44422"/>
    <w:rsid w:val="00B463F3"/>
    <w:rsid w:val="00B46AE4"/>
    <w:rsid w:val="00B46EA0"/>
    <w:rsid w:val="00B47E60"/>
    <w:rsid w:val="00B5041A"/>
    <w:rsid w:val="00B577F0"/>
    <w:rsid w:val="00B629D5"/>
    <w:rsid w:val="00B703B5"/>
    <w:rsid w:val="00B710CD"/>
    <w:rsid w:val="00B731D3"/>
    <w:rsid w:val="00B777F5"/>
    <w:rsid w:val="00B828B9"/>
    <w:rsid w:val="00B833B0"/>
    <w:rsid w:val="00B839A3"/>
    <w:rsid w:val="00B84BB0"/>
    <w:rsid w:val="00B85557"/>
    <w:rsid w:val="00B87E23"/>
    <w:rsid w:val="00B902BD"/>
    <w:rsid w:val="00B90B14"/>
    <w:rsid w:val="00B91C91"/>
    <w:rsid w:val="00B949F0"/>
    <w:rsid w:val="00B960BA"/>
    <w:rsid w:val="00B96BDA"/>
    <w:rsid w:val="00B97763"/>
    <w:rsid w:val="00BA2289"/>
    <w:rsid w:val="00BA24E2"/>
    <w:rsid w:val="00BA393E"/>
    <w:rsid w:val="00BA56FD"/>
    <w:rsid w:val="00BA7E9F"/>
    <w:rsid w:val="00BB24B5"/>
    <w:rsid w:val="00BB60A0"/>
    <w:rsid w:val="00BC4A7E"/>
    <w:rsid w:val="00BD2A39"/>
    <w:rsid w:val="00BD2E80"/>
    <w:rsid w:val="00BD59CB"/>
    <w:rsid w:val="00BE06D9"/>
    <w:rsid w:val="00BE11B8"/>
    <w:rsid w:val="00BE1FE0"/>
    <w:rsid w:val="00BE2742"/>
    <w:rsid w:val="00BE43C9"/>
    <w:rsid w:val="00BE6942"/>
    <w:rsid w:val="00BE7AC6"/>
    <w:rsid w:val="00BF02F4"/>
    <w:rsid w:val="00BF0EA0"/>
    <w:rsid w:val="00BF47DA"/>
    <w:rsid w:val="00BF5BBA"/>
    <w:rsid w:val="00BF7FF0"/>
    <w:rsid w:val="00C057F4"/>
    <w:rsid w:val="00C06675"/>
    <w:rsid w:val="00C076F6"/>
    <w:rsid w:val="00C07805"/>
    <w:rsid w:val="00C10018"/>
    <w:rsid w:val="00C10A69"/>
    <w:rsid w:val="00C11888"/>
    <w:rsid w:val="00C1218C"/>
    <w:rsid w:val="00C12502"/>
    <w:rsid w:val="00C148F5"/>
    <w:rsid w:val="00C15A6C"/>
    <w:rsid w:val="00C1733F"/>
    <w:rsid w:val="00C17810"/>
    <w:rsid w:val="00C21A0F"/>
    <w:rsid w:val="00C241EE"/>
    <w:rsid w:val="00C26253"/>
    <w:rsid w:val="00C27A72"/>
    <w:rsid w:val="00C30CA1"/>
    <w:rsid w:val="00C34CA6"/>
    <w:rsid w:val="00C358D6"/>
    <w:rsid w:val="00C36578"/>
    <w:rsid w:val="00C36FC0"/>
    <w:rsid w:val="00C37054"/>
    <w:rsid w:val="00C37228"/>
    <w:rsid w:val="00C40AA5"/>
    <w:rsid w:val="00C43CB9"/>
    <w:rsid w:val="00C46054"/>
    <w:rsid w:val="00C46F70"/>
    <w:rsid w:val="00C476D0"/>
    <w:rsid w:val="00C55104"/>
    <w:rsid w:val="00C56506"/>
    <w:rsid w:val="00C60DB4"/>
    <w:rsid w:val="00C61AC1"/>
    <w:rsid w:val="00C647F1"/>
    <w:rsid w:val="00C65B7B"/>
    <w:rsid w:val="00C66C1D"/>
    <w:rsid w:val="00C70C7C"/>
    <w:rsid w:val="00C72826"/>
    <w:rsid w:val="00C7625A"/>
    <w:rsid w:val="00C76D44"/>
    <w:rsid w:val="00C77039"/>
    <w:rsid w:val="00C77E24"/>
    <w:rsid w:val="00C8098F"/>
    <w:rsid w:val="00C834EF"/>
    <w:rsid w:val="00C836E3"/>
    <w:rsid w:val="00C86577"/>
    <w:rsid w:val="00C92E07"/>
    <w:rsid w:val="00C96868"/>
    <w:rsid w:val="00C96F33"/>
    <w:rsid w:val="00CA0416"/>
    <w:rsid w:val="00CA3849"/>
    <w:rsid w:val="00CA3967"/>
    <w:rsid w:val="00CA4FE2"/>
    <w:rsid w:val="00CA641D"/>
    <w:rsid w:val="00CA71E7"/>
    <w:rsid w:val="00CB386B"/>
    <w:rsid w:val="00CB4F25"/>
    <w:rsid w:val="00CC00DD"/>
    <w:rsid w:val="00CC1B44"/>
    <w:rsid w:val="00CC560B"/>
    <w:rsid w:val="00CC75E2"/>
    <w:rsid w:val="00CD4110"/>
    <w:rsid w:val="00CD46EB"/>
    <w:rsid w:val="00CD51E0"/>
    <w:rsid w:val="00CD7EBF"/>
    <w:rsid w:val="00CE0B3C"/>
    <w:rsid w:val="00CE0E11"/>
    <w:rsid w:val="00CE7D5F"/>
    <w:rsid w:val="00CF1E6E"/>
    <w:rsid w:val="00CF5F63"/>
    <w:rsid w:val="00CF702C"/>
    <w:rsid w:val="00D01D8E"/>
    <w:rsid w:val="00D03AF8"/>
    <w:rsid w:val="00D056F1"/>
    <w:rsid w:val="00D11171"/>
    <w:rsid w:val="00D12D5A"/>
    <w:rsid w:val="00D15645"/>
    <w:rsid w:val="00D1572E"/>
    <w:rsid w:val="00D168FF"/>
    <w:rsid w:val="00D16BA9"/>
    <w:rsid w:val="00D17376"/>
    <w:rsid w:val="00D20375"/>
    <w:rsid w:val="00D22F3C"/>
    <w:rsid w:val="00D22F50"/>
    <w:rsid w:val="00D23DB6"/>
    <w:rsid w:val="00D243C1"/>
    <w:rsid w:val="00D2459D"/>
    <w:rsid w:val="00D25759"/>
    <w:rsid w:val="00D27155"/>
    <w:rsid w:val="00D30A9F"/>
    <w:rsid w:val="00D36531"/>
    <w:rsid w:val="00D4020F"/>
    <w:rsid w:val="00D40996"/>
    <w:rsid w:val="00D410BF"/>
    <w:rsid w:val="00D419B7"/>
    <w:rsid w:val="00D42234"/>
    <w:rsid w:val="00D43F78"/>
    <w:rsid w:val="00D43F9D"/>
    <w:rsid w:val="00D43FE6"/>
    <w:rsid w:val="00D4456E"/>
    <w:rsid w:val="00D4758A"/>
    <w:rsid w:val="00D51A95"/>
    <w:rsid w:val="00D55F60"/>
    <w:rsid w:val="00D571E9"/>
    <w:rsid w:val="00D5739B"/>
    <w:rsid w:val="00D60568"/>
    <w:rsid w:val="00D626CA"/>
    <w:rsid w:val="00D67D67"/>
    <w:rsid w:val="00D67F7D"/>
    <w:rsid w:val="00D70C7A"/>
    <w:rsid w:val="00D7283A"/>
    <w:rsid w:val="00D728EC"/>
    <w:rsid w:val="00D73414"/>
    <w:rsid w:val="00D8096F"/>
    <w:rsid w:val="00D81B3C"/>
    <w:rsid w:val="00D81D38"/>
    <w:rsid w:val="00D82516"/>
    <w:rsid w:val="00D83746"/>
    <w:rsid w:val="00D838D3"/>
    <w:rsid w:val="00D8467D"/>
    <w:rsid w:val="00D85DE9"/>
    <w:rsid w:val="00D90ACA"/>
    <w:rsid w:val="00D931E3"/>
    <w:rsid w:val="00D934C6"/>
    <w:rsid w:val="00D93A60"/>
    <w:rsid w:val="00D95D36"/>
    <w:rsid w:val="00D95D61"/>
    <w:rsid w:val="00D95DCB"/>
    <w:rsid w:val="00D9620E"/>
    <w:rsid w:val="00DA050B"/>
    <w:rsid w:val="00DA10A8"/>
    <w:rsid w:val="00DA3814"/>
    <w:rsid w:val="00DA7FCD"/>
    <w:rsid w:val="00DB1E08"/>
    <w:rsid w:val="00DB2973"/>
    <w:rsid w:val="00DC1B56"/>
    <w:rsid w:val="00DC2129"/>
    <w:rsid w:val="00DC38A5"/>
    <w:rsid w:val="00DC6570"/>
    <w:rsid w:val="00DC7731"/>
    <w:rsid w:val="00DD0FD4"/>
    <w:rsid w:val="00DD189E"/>
    <w:rsid w:val="00DD3598"/>
    <w:rsid w:val="00DD37FE"/>
    <w:rsid w:val="00DD3C5E"/>
    <w:rsid w:val="00DD4C79"/>
    <w:rsid w:val="00DD7012"/>
    <w:rsid w:val="00DE0EB2"/>
    <w:rsid w:val="00DE25F1"/>
    <w:rsid w:val="00DE7C11"/>
    <w:rsid w:val="00DF25C3"/>
    <w:rsid w:val="00DF299D"/>
    <w:rsid w:val="00DF2F14"/>
    <w:rsid w:val="00DF47D6"/>
    <w:rsid w:val="00DF5387"/>
    <w:rsid w:val="00DF716D"/>
    <w:rsid w:val="00E001A9"/>
    <w:rsid w:val="00E04062"/>
    <w:rsid w:val="00E063C6"/>
    <w:rsid w:val="00E066BA"/>
    <w:rsid w:val="00E06D95"/>
    <w:rsid w:val="00E13522"/>
    <w:rsid w:val="00E14658"/>
    <w:rsid w:val="00E1556D"/>
    <w:rsid w:val="00E17B80"/>
    <w:rsid w:val="00E2003B"/>
    <w:rsid w:val="00E203C2"/>
    <w:rsid w:val="00E2391B"/>
    <w:rsid w:val="00E26837"/>
    <w:rsid w:val="00E27060"/>
    <w:rsid w:val="00E279D8"/>
    <w:rsid w:val="00E307BD"/>
    <w:rsid w:val="00E30F13"/>
    <w:rsid w:val="00E319B1"/>
    <w:rsid w:val="00E348C6"/>
    <w:rsid w:val="00E4237E"/>
    <w:rsid w:val="00E44E0D"/>
    <w:rsid w:val="00E5492F"/>
    <w:rsid w:val="00E61992"/>
    <w:rsid w:val="00E62DEF"/>
    <w:rsid w:val="00E67410"/>
    <w:rsid w:val="00E67684"/>
    <w:rsid w:val="00E70A86"/>
    <w:rsid w:val="00E76D9B"/>
    <w:rsid w:val="00E777EC"/>
    <w:rsid w:val="00E80FCD"/>
    <w:rsid w:val="00E84109"/>
    <w:rsid w:val="00E84FFE"/>
    <w:rsid w:val="00E907B8"/>
    <w:rsid w:val="00E91479"/>
    <w:rsid w:val="00EA001E"/>
    <w:rsid w:val="00EA0E7F"/>
    <w:rsid w:val="00EA3F0A"/>
    <w:rsid w:val="00EA7F2F"/>
    <w:rsid w:val="00EB429D"/>
    <w:rsid w:val="00EB48A0"/>
    <w:rsid w:val="00EB5CF3"/>
    <w:rsid w:val="00EB639B"/>
    <w:rsid w:val="00EC00DE"/>
    <w:rsid w:val="00EC2917"/>
    <w:rsid w:val="00EC30E1"/>
    <w:rsid w:val="00EC500C"/>
    <w:rsid w:val="00ED172A"/>
    <w:rsid w:val="00ED1BD3"/>
    <w:rsid w:val="00ED7DAC"/>
    <w:rsid w:val="00EE0553"/>
    <w:rsid w:val="00EE5EA4"/>
    <w:rsid w:val="00EF044E"/>
    <w:rsid w:val="00EF0D4B"/>
    <w:rsid w:val="00EF1CC2"/>
    <w:rsid w:val="00EF1E01"/>
    <w:rsid w:val="00EF73A6"/>
    <w:rsid w:val="00EF7C98"/>
    <w:rsid w:val="00F053D3"/>
    <w:rsid w:val="00F077FF"/>
    <w:rsid w:val="00F114BD"/>
    <w:rsid w:val="00F11F6C"/>
    <w:rsid w:val="00F14BEC"/>
    <w:rsid w:val="00F15128"/>
    <w:rsid w:val="00F16E53"/>
    <w:rsid w:val="00F17143"/>
    <w:rsid w:val="00F225C5"/>
    <w:rsid w:val="00F2587A"/>
    <w:rsid w:val="00F271D2"/>
    <w:rsid w:val="00F340A8"/>
    <w:rsid w:val="00F34404"/>
    <w:rsid w:val="00F367C3"/>
    <w:rsid w:val="00F3715D"/>
    <w:rsid w:val="00F4057D"/>
    <w:rsid w:val="00F420C8"/>
    <w:rsid w:val="00F424C2"/>
    <w:rsid w:val="00F42A4C"/>
    <w:rsid w:val="00F4442A"/>
    <w:rsid w:val="00F4464D"/>
    <w:rsid w:val="00F604DE"/>
    <w:rsid w:val="00F61F4D"/>
    <w:rsid w:val="00F634C1"/>
    <w:rsid w:val="00F667FB"/>
    <w:rsid w:val="00F70A2F"/>
    <w:rsid w:val="00F72A16"/>
    <w:rsid w:val="00F7305F"/>
    <w:rsid w:val="00F822EA"/>
    <w:rsid w:val="00F8525E"/>
    <w:rsid w:val="00F85AC2"/>
    <w:rsid w:val="00F91605"/>
    <w:rsid w:val="00F934EB"/>
    <w:rsid w:val="00F941AD"/>
    <w:rsid w:val="00FA7583"/>
    <w:rsid w:val="00FA79E5"/>
    <w:rsid w:val="00FB07C2"/>
    <w:rsid w:val="00FB1EC9"/>
    <w:rsid w:val="00FB4357"/>
    <w:rsid w:val="00FB54AB"/>
    <w:rsid w:val="00FB7512"/>
    <w:rsid w:val="00FB7B0B"/>
    <w:rsid w:val="00FC0BC1"/>
    <w:rsid w:val="00FC1DB4"/>
    <w:rsid w:val="00FC2B09"/>
    <w:rsid w:val="00FC2D49"/>
    <w:rsid w:val="00FC7990"/>
    <w:rsid w:val="00FC7F37"/>
    <w:rsid w:val="00FD178B"/>
    <w:rsid w:val="00FD3898"/>
    <w:rsid w:val="00FD55A9"/>
    <w:rsid w:val="00FD5B37"/>
    <w:rsid w:val="00FD663F"/>
    <w:rsid w:val="00FD6B12"/>
    <w:rsid w:val="00FD6DAC"/>
    <w:rsid w:val="00FD7547"/>
    <w:rsid w:val="00FE2C25"/>
    <w:rsid w:val="00FE43FA"/>
    <w:rsid w:val="00FE593F"/>
    <w:rsid w:val="00FE73DD"/>
    <w:rsid w:val="00FF3283"/>
    <w:rsid w:val="00FF3F13"/>
    <w:rsid w:val="00FF5387"/>
    <w:rsid w:val="00FF5F5C"/>
    <w:rsid w:val="00FF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59CB"/>
    <w:pPr>
      <w:keepNext/>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D15645"/>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59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D1564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444D"/>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9279">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diagramColors" Target="diagrams/colors1.xm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diagramQuickStyle" Target="diagrams/quickStyle1.xml"/><Relationship Id="rId33" Type="http://schemas.openxmlformats.org/officeDocument/2006/relationships/fontTable" Target="fontTable.xml"/><Relationship Id="rId29" Type="http://schemas.openxmlformats.org/officeDocument/2006/relationships/image" Target="media/image5.png"/><Relationship Id="rId16" Type="http://schemas.openxmlformats.org/officeDocument/2006/relationships/header" Target="header2.xml"/><Relationship Id="rId20" Type="http://schemas.openxmlformats.org/officeDocument/2006/relationships/footer" Target="footer3.xml"/><Relationship Id="rId32" Type="http://schemas.openxmlformats.org/officeDocument/2006/relationships/hyperlink" Target="https://www.foodchemicalscodex.org/" TargetMode="Externa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Layout" Target="diagrams/layout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diagramData" Target="diagrams/data1.xml"/><Relationship Id="rId28" Type="http://schemas.openxmlformats.org/officeDocument/2006/relationships/image" Target="media/image4.png"/><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fao.org/docrep/009/a0691e/A0691E03.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3.png"/><Relationship Id="rId27" Type="http://schemas.microsoft.com/office/2007/relationships/diagramDrawing" Target="diagrams/drawing1.xml"/><Relationship Id="rId30" Type="http://schemas.openxmlformats.org/officeDocument/2006/relationships/hyperlink" Target="../../Assessment/Enzyme%20Nomenclature%20for%20EC%203.4.23.18"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8874B-1901-4597-A592-A55F62C175FF}" type="doc">
      <dgm:prSet loTypeId="urn:microsoft.com/office/officeart/2005/8/layout/bProcess3" loCatId="process" qsTypeId="urn:microsoft.com/office/officeart/2005/8/quickstyle/simple3" qsCatId="simple" csTypeId="urn:microsoft.com/office/officeart/2005/8/colors/accent0_1" csCatId="mainScheme" phldr="1"/>
      <dgm:spPr/>
      <dgm:t>
        <a:bodyPr/>
        <a:lstStyle/>
        <a:p>
          <a:endParaRPr lang="en-US"/>
        </a:p>
      </dgm:t>
    </dgm:pt>
    <dgm:pt modelId="{37AFDD02-FD50-41D3-8A8B-4045CBE2470A}">
      <dgm:prSet phldrT="[Text]" custT="1"/>
      <dgm:spPr>
        <a:xfrm>
          <a:off x="315193" y="511"/>
          <a:ext cx="1035397" cy="621238"/>
        </a:xfrm>
      </dgm:spPr>
      <dgm:t>
        <a:bodyPr/>
        <a:lstStyle/>
        <a:p>
          <a:r>
            <a:rPr lang="en-US" sz="1200" b="1" i="1">
              <a:latin typeface="Calibri"/>
              <a:ea typeface="+mn-ea"/>
              <a:cs typeface="+mn-cs"/>
            </a:rPr>
            <a:t>Part 1: Fermentation</a:t>
          </a:r>
        </a:p>
      </dgm:t>
    </dgm:pt>
    <dgm:pt modelId="{372617D9-93DF-40A7-A4BC-165C34B7AB0C}" type="parTrans" cxnId="{EABA1435-240A-45B0-9594-0DFCB40FE533}">
      <dgm:prSet/>
      <dgm:spPr/>
      <dgm:t>
        <a:bodyPr/>
        <a:lstStyle/>
        <a:p>
          <a:endParaRPr lang="en-US"/>
        </a:p>
      </dgm:t>
    </dgm:pt>
    <dgm:pt modelId="{3708981B-D6D0-405F-BED0-126EE29F9FBC}" type="sibTrans" cxnId="{EABA1435-240A-45B0-9594-0DFCB40FE533}">
      <dgm:prSet/>
      <dgm:spPr>
        <a:xfrm>
          <a:off x="1348790" y="265410"/>
          <a:ext cx="207541" cy="91440"/>
        </a:xfrm>
      </dgm:spPr>
      <dgm:t>
        <a:bodyPr/>
        <a:lstStyle/>
        <a:p>
          <a:endParaRPr lang="en-US">
            <a:solidFill>
              <a:sysClr val="windowText" lastClr="000000">
                <a:hueOff val="0"/>
                <a:satOff val="0"/>
                <a:lumOff val="0"/>
                <a:alphaOff val="0"/>
              </a:sysClr>
            </a:solidFill>
            <a:latin typeface="Calibri"/>
            <a:ea typeface="+mn-ea"/>
            <a:cs typeface="+mn-cs"/>
          </a:endParaRPr>
        </a:p>
      </dgm:t>
    </dgm:pt>
    <dgm:pt modelId="{BBD56BCB-15B0-4A75-BEDC-10CEA9EB75B6}">
      <dgm:prSet phldrT="[Text]"/>
      <dgm:spPr>
        <a:xfrm>
          <a:off x="1588732" y="1719270"/>
          <a:ext cx="1035397" cy="621238"/>
        </a:xfrm>
      </dgm:spPr>
      <dgm:t>
        <a:bodyPr/>
        <a:lstStyle/>
        <a:p>
          <a:r>
            <a:rPr lang="en-US">
              <a:latin typeface="Calibri"/>
              <a:ea typeface="+mn-ea"/>
              <a:cs typeface="+mn-cs"/>
            </a:rPr>
            <a:t>Polish filtration</a:t>
          </a:r>
        </a:p>
      </dgm:t>
      <dgm:extLst>
        <a:ext uri="{E40237B7-FDA0-4F09-8148-C483321AD2D9}">
          <dgm14:cNvPr xmlns:dgm14="http://schemas.microsoft.com/office/drawing/2010/diagram" id="0" name="" title="Manufacturing process for CB108 Lactase"/>
        </a:ext>
      </dgm:extLst>
    </dgm:pt>
    <dgm:pt modelId="{2AA308FF-0DD1-46C1-A9FD-3EF6EDD52F93}" type="parTrans" cxnId="{9EDF5719-F1A2-4E31-AC2A-D963715E45B5}">
      <dgm:prSet/>
      <dgm:spPr/>
      <dgm:t>
        <a:bodyPr/>
        <a:lstStyle/>
        <a:p>
          <a:endParaRPr lang="en-US"/>
        </a:p>
      </dgm:t>
    </dgm:pt>
    <dgm:pt modelId="{EF1E943F-1A87-4C9C-B896-43E026130541}" type="sibTrans" cxnId="{9EDF5719-F1A2-4E31-AC2A-D963715E45B5}">
      <dgm:prSet/>
      <dgm:spPr>
        <a:xfrm>
          <a:off x="2622329" y="1984169"/>
          <a:ext cx="207541" cy="91440"/>
        </a:xfrm>
      </dgm:spPr>
      <dgm:t>
        <a:bodyPr/>
        <a:lstStyle/>
        <a:p>
          <a:endParaRPr lang="en-US">
            <a:solidFill>
              <a:sysClr val="windowText" lastClr="000000">
                <a:hueOff val="0"/>
                <a:satOff val="0"/>
                <a:lumOff val="0"/>
                <a:alphaOff val="0"/>
              </a:sysClr>
            </a:solidFill>
            <a:latin typeface="Calibri"/>
            <a:ea typeface="+mn-ea"/>
            <a:cs typeface="+mn-cs"/>
          </a:endParaRPr>
        </a:p>
      </dgm:t>
    </dgm:pt>
    <dgm:pt modelId="{EEE9D1AD-3E43-4AE2-8D14-447514F919F0}">
      <dgm:prSet phldrT="[Text]" custT="1"/>
      <dgm:spPr>
        <a:xfrm>
          <a:off x="2862270" y="1719270"/>
          <a:ext cx="1035397" cy="621238"/>
        </a:xfrm>
      </dgm:spPr>
      <dgm:t>
        <a:bodyPr/>
        <a:lstStyle/>
        <a:p>
          <a:r>
            <a:rPr lang="en-US" sz="1200" b="1" i="1">
              <a:latin typeface="Calibri"/>
              <a:ea typeface="+mn-ea"/>
              <a:cs typeface="+mn-cs"/>
            </a:rPr>
            <a:t>Part 3 - Final product</a:t>
          </a:r>
        </a:p>
      </dgm:t>
      <dgm:extLst>
        <a:ext uri="{E40237B7-FDA0-4F09-8148-C483321AD2D9}">
          <dgm14:cNvPr xmlns:dgm14="http://schemas.microsoft.com/office/drawing/2010/diagram" id="0" name="" title="Manufacturing process for CB108 Lactase"/>
        </a:ext>
      </dgm:extLst>
    </dgm:pt>
    <dgm:pt modelId="{A422414B-B5DE-4E71-9ACB-2457750F8EDB}" type="parTrans" cxnId="{F0F6F42C-4E9F-4510-A8CD-07E08975DE10}">
      <dgm:prSet/>
      <dgm:spPr/>
      <dgm:t>
        <a:bodyPr/>
        <a:lstStyle/>
        <a:p>
          <a:endParaRPr lang="en-US"/>
        </a:p>
      </dgm:t>
    </dgm:pt>
    <dgm:pt modelId="{433F0AFA-AE75-4302-A9C7-DE783ED3A775}" type="sibTrans" cxnId="{F0F6F42C-4E9F-4510-A8CD-07E08975DE10}">
      <dgm:prSet/>
      <dgm:spPr>
        <a:xfrm>
          <a:off x="3895867" y="1984169"/>
          <a:ext cx="207541" cy="91440"/>
        </a:xfrm>
      </dgm:spPr>
      <dgm:t>
        <a:bodyPr/>
        <a:lstStyle/>
        <a:p>
          <a:endParaRPr lang="en-US">
            <a:solidFill>
              <a:sysClr val="windowText" lastClr="000000">
                <a:hueOff val="0"/>
                <a:satOff val="0"/>
                <a:lumOff val="0"/>
                <a:alphaOff val="0"/>
              </a:sysClr>
            </a:solidFill>
            <a:latin typeface="Calibri"/>
            <a:ea typeface="+mn-ea"/>
            <a:cs typeface="+mn-cs"/>
          </a:endParaRPr>
        </a:p>
      </dgm:t>
    </dgm:pt>
    <dgm:pt modelId="{FD3347C8-31B1-4F6B-9EDA-1EA8A7345D4E}">
      <dgm:prSet phldrT="[Text]"/>
      <dgm:spPr>
        <a:xfrm>
          <a:off x="4135809" y="1719270"/>
          <a:ext cx="1035397" cy="621238"/>
        </a:xfrm>
      </dgm:spPr>
      <dgm:t>
        <a:bodyPr/>
        <a:lstStyle/>
        <a:p>
          <a:r>
            <a:rPr lang="en-US">
              <a:latin typeface="Calibri"/>
              <a:ea typeface="+mn-ea"/>
              <a:cs typeface="+mn-cs"/>
            </a:rPr>
            <a:t>Formulation of enzyme preparation</a:t>
          </a:r>
        </a:p>
      </dgm:t>
    </dgm:pt>
    <dgm:pt modelId="{509A11E1-A444-4DE2-BBD2-DDBBC96E397F}" type="parTrans" cxnId="{A022D7A8-4490-4015-BD72-8D8A9210D656}">
      <dgm:prSet/>
      <dgm:spPr/>
      <dgm:t>
        <a:bodyPr/>
        <a:lstStyle/>
        <a:p>
          <a:endParaRPr lang="en-US"/>
        </a:p>
      </dgm:t>
    </dgm:pt>
    <dgm:pt modelId="{ECEC388C-040C-4648-B210-BD1FF90973CC}" type="sibTrans" cxnId="{A022D7A8-4490-4015-BD72-8D8A9210D656}">
      <dgm:prSet/>
      <dgm:spPr>
        <a:xfrm>
          <a:off x="832892" y="2338709"/>
          <a:ext cx="3820615" cy="207541"/>
        </a:xfrm>
      </dgm:spPr>
      <dgm:t>
        <a:bodyPr/>
        <a:lstStyle/>
        <a:p>
          <a:endParaRPr lang="en-US">
            <a:solidFill>
              <a:sysClr val="windowText" lastClr="000000">
                <a:hueOff val="0"/>
                <a:satOff val="0"/>
                <a:lumOff val="0"/>
                <a:alphaOff val="0"/>
              </a:sysClr>
            </a:solidFill>
            <a:latin typeface="Calibri"/>
            <a:ea typeface="+mn-ea"/>
            <a:cs typeface="+mn-cs"/>
          </a:endParaRPr>
        </a:p>
      </dgm:t>
    </dgm:pt>
    <dgm:pt modelId="{F4A20DFB-BD14-4976-BF1F-3E638D714CBA}">
      <dgm:prSet/>
      <dgm:spPr>
        <a:xfrm>
          <a:off x="1588732" y="511"/>
          <a:ext cx="1035397" cy="621238"/>
        </a:xfrm>
      </dgm:spPr>
      <dgm:t>
        <a:bodyPr/>
        <a:lstStyle/>
        <a:p>
          <a:r>
            <a:rPr lang="en-US">
              <a:latin typeface="Calibri"/>
              <a:ea typeface="+mn-ea"/>
              <a:cs typeface="+mn-cs"/>
            </a:rPr>
            <a:t>Inoculation</a:t>
          </a:r>
        </a:p>
      </dgm:t>
    </dgm:pt>
    <dgm:pt modelId="{6BED993B-FA06-403A-B2AF-F92F0A1B9694}" type="parTrans" cxnId="{D0A5912F-5CEC-4F8A-9956-317FCC5A8B40}">
      <dgm:prSet/>
      <dgm:spPr/>
      <dgm:t>
        <a:bodyPr/>
        <a:lstStyle/>
        <a:p>
          <a:endParaRPr lang="en-US"/>
        </a:p>
      </dgm:t>
    </dgm:pt>
    <dgm:pt modelId="{113CA7C1-6591-492D-A00C-7F7A39100EB8}" type="sibTrans" cxnId="{D0A5912F-5CEC-4F8A-9956-317FCC5A8B40}">
      <dgm:prSet/>
      <dgm:spPr>
        <a:xfrm>
          <a:off x="2622329" y="265410"/>
          <a:ext cx="207541" cy="91440"/>
        </a:xfrm>
      </dgm:spPr>
      <dgm:t>
        <a:bodyPr/>
        <a:lstStyle/>
        <a:p>
          <a:endParaRPr lang="en-US">
            <a:solidFill>
              <a:sysClr val="windowText" lastClr="000000">
                <a:hueOff val="0"/>
                <a:satOff val="0"/>
                <a:lumOff val="0"/>
                <a:alphaOff val="0"/>
              </a:sysClr>
            </a:solidFill>
            <a:latin typeface="Calibri"/>
            <a:ea typeface="+mn-ea"/>
            <a:cs typeface="+mn-cs"/>
          </a:endParaRPr>
        </a:p>
      </dgm:t>
    </dgm:pt>
    <dgm:pt modelId="{259A558C-19B0-4BB8-92CA-6E318EEB5E67}">
      <dgm:prSet/>
      <dgm:spPr>
        <a:xfrm>
          <a:off x="2862270" y="511"/>
          <a:ext cx="1035397" cy="621238"/>
        </a:xfrm>
      </dgm:spPr>
      <dgm:t>
        <a:bodyPr/>
        <a:lstStyle/>
        <a:p>
          <a:r>
            <a:rPr lang="en-US">
              <a:latin typeface="Calibri"/>
              <a:ea typeface="+mn-ea"/>
              <a:cs typeface="+mn-cs"/>
            </a:rPr>
            <a:t>Seed fermentation</a:t>
          </a:r>
        </a:p>
      </dgm:t>
    </dgm:pt>
    <dgm:pt modelId="{71958C7E-E744-40E7-ABE0-8ED2E6F5209D}" type="parTrans" cxnId="{BF9332BD-B294-4C52-99B2-FF17DD369DDC}">
      <dgm:prSet/>
      <dgm:spPr/>
      <dgm:t>
        <a:bodyPr/>
        <a:lstStyle/>
        <a:p>
          <a:endParaRPr lang="en-US"/>
        </a:p>
      </dgm:t>
    </dgm:pt>
    <dgm:pt modelId="{C170584A-5DFB-48FC-99B5-48BF314B2C47}" type="sibTrans" cxnId="{BF9332BD-B294-4C52-99B2-FF17DD369DDC}">
      <dgm:prSet/>
      <dgm:spPr>
        <a:xfrm>
          <a:off x="3895867" y="265410"/>
          <a:ext cx="207541" cy="91440"/>
        </a:xfrm>
      </dgm:spPr>
      <dgm:t>
        <a:bodyPr/>
        <a:lstStyle/>
        <a:p>
          <a:endParaRPr lang="en-US">
            <a:solidFill>
              <a:sysClr val="windowText" lastClr="000000">
                <a:hueOff val="0"/>
                <a:satOff val="0"/>
                <a:lumOff val="0"/>
                <a:alphaOff val="0"/>
              </a:sysClr>
            </a:solidFill>
            <a:latin typeface="Calibri"/>
            <a:ea typeface="+mn-ea"/>
            <a:cs typeface="+mn-cs"/>
          </a:endParaRPr>
        </a:p>
      </dgm:t>
    </dgm:pt>
    <dgm:pt modelId="{FE35EF82-1C16-4D50-8001-D61B7CC72945}">
      <dgm:prSet/>
      <dgm:spPr>
        <a:xfrm>
          <a:off x="2862270" y="859890"/>
          <a:ext cx="1035397" cy="621238"/>
        </a:xfrm>
      </dgm:spPr>
      <dgm:t>
        <a:bodyPr/>
        <a:lstStyle/>
        <a:p>
          <a:r>
            <a:rPr lang="en-US">
              <a:latin typeface="Calibri"/>
              <a:ea typeface="+mn-ea"/>
              <a:cs typeface="+mn-cs"/>
            </a:rPr>
            <a:t>Pre-treatment</a:t>
          </a:r>
        </a:p>
      </dgm:t>
    </dgm:pt>
    <dgm:pt modelId="{E05AD591-0F5D-4B98-B11A-F7E73060D09C}" type="parTrans" cxnId="{4C286765-9EA1-463A-B946-BFCFDE535E6D}">
      <dgm:prSet/>
      <dgm:spPr/>
      <dgm:t>
        <a:bodyPr/>
        <a:lstStyle/>
        <a:p>
          <a:endParaRPr lang="en-US"/>
        </a:p>
      </dgm:t>
    </dgm:pt>
    <dgm:pt modelId="{68DE40A2-F4D1-43DB-B4A1-18124EEC4DEB}" type="sibTrans" cxnId="{4C286765-9EA1-463A-B946-BFCFDE535E6D}">
      <dgm:prSet/>
      <dgm:spPr>
        <a:xfrm>
          <a:off x="3895867" y="1124790"/>
          <a:ext cx="207541" cy="91440"/>
        </a:xfrm>
      </dgm:spPr>
      <dgm:t>
        <a:bodyPr/>
        <a:lstStyle/>
        <a:p>
          <a:endParaRPr lang="en-US">
            <a:solidFill>
              <a:sysClr val="windowText" lastClr="000000">
                <a:hueOff val="0"/>
                <a:satOff val="0"/>
                <a:lumOff val="0"/>
                <a:alphaOff val="0"/>
              </a:sysClr>
            </a:solidFill>
            <a:latin typeface="Calibri"/>
            <a:ea typeface="+mn-ea"/>
            <a:cs typeface="+mn-cs"/>
          </a:endParaRPr>
        </a:p>
      </dgm:t>
    </dgm:pt>
    <dgm:pt modelId="{378850F2-E665-4085-B257-B25B4981573F}">
      <dgm:prSet/>
      <dgm:spPr>
        <a:xfrm>
          <a:off x="4135809" y="859890"/>
          <a:ext cx="1035397" cy="621238"/>
        </a:xfrm>
      </dgm:spPr>
      <dgm:t>
        <a:bodyPr/>
        <a:lstStyle/>
        <a:p>
          <a:r>
            <a:rPr lang="en-US">
              <a:latin typeface="Calibri"/>
              <a:ea typeface="+mn-ea"/>
              <a:cs typeface="+mn-cs"/>
            </a:rPr>
            <a:t>Primary solid/liquid separation</a:t>
          </a:r>
        </a:p>
      </dgm:t>
    </dgm:pt>
    <dgm:pt modelId="{3F45A0C7-0A4D-49CF-A507-630DDD8E5381}" type="parTrans" cxnId="{3776169B-C011-47CB-B38F-70DADE49349D}">
      <dgm:prSet/>
      <dgm:spPr/>
      <dgm:t>
        <a:bodyPr/>
        <a:lstStyle/>
        <a:p>
          <a:endParaRPr lang="en-US"/>
        </a:p>
      </dgm:t>
    </dgm:pt>
    <dgm:pt modelId="{2047E5AF-EB3C-4541-BBEE-9DFE19B8526B}" type="sibTrans" cxnId="{3776169B-C011-47CB-B38F-70DADE49349D}">
      <dgm:prSet/>
      <dgm:spPr>
        <a:xfrm>
          <a:off x="832892" y="1479329"/>
          <a:ext cx="3820615" cy="207541"/>
        </a:xfrm>
      </dgm:spPr>
      <dgm:t>
        <a:bodyPr/>
        <a:lstStyle/>
        <a:p>
          <a:endParaRPr lang="en-US">
            <a:solidFill>
              <a:sysClr val="windowText" lastClr="000000">
                <a:hueOff val="0"/>
                <a:satOff val="0"/>
                <a:lumOff val="0"/>
                <a:alphaOff val="0"/>
              </a:sysClr>
            </a:solidFill>
            <a:latin typeface="Calibri"/>
            <a:ea typeface="+mn-ea"/>
            <a:cs typeface="+mn-cs"/>
          </a:endParaRPr>
        </a:p>
      </dgm:t>
    </dgm:pt>
    <dgm:pt modelId="{C2E2E1BA-C234-42FD-8946-91E1BE3CF046}">
      <dgm:prSet/>
      <dgm:spPr>
        <a:xfrm>
          <a:off x="315193" y="1719270"/>
          <a:ext cx="1035397" cy="621238"/>
        </a:xfrm>
      </dgm:spPr>
      <dgm:t>
        <a:bodyPr/>
        <a:lstStyle/>
        <a:p>
          <a:r>
            <a:rPr lang="en-US">
              <a:latin typeface="Calibri"/>
              <a:ea typeface="+mn-ea"/>
              <a:cs typeface="+mn-cs"/>
            </a:rPr>
            <a:t>Concentration</a:t>
          </a:r>
        </a:p>
      </dgm:t>
    </dgm:pt>
    <dgm:pt modelId="{0AEC5282-46DD-4136-9A83-2F37B89B2A6B}" type="parTrans" cxnId="{37A558C2-4300-4123-8CA1-E9BEB6CD7D3E}">
      <dgm:prSet/>
      <dgm:spPr/>
      <dgm:t>
        <a:bodyPr/>
        <a:lstStyle/>
        <a:p>
          <a:endParaRPr lang="en-US"/>
        </a:p>
      </dgm:t>
    </dgm:pt>
    <dgm:pt modelId="{D9DE9B2C-02BC-4169-A59D-B6C5E0E7A5E5}" type="sibTrans" cxnId="{37A558C2-4300-4123-8CA1-E9BEB6CD7D3E}">
      <dgm:prSet/>
      <dgm:spPr>
        <a:xfrm>
          <a:off x="1348790" y="1984169"/>
          <a:ext cx="207541" cy="91440"/>
        </a:xfrm>
      </dgm:spPr>
      <dgm:t>
        <a:bodyPr/>
        <a:lstStyle/>
        <a:p>
          <a:endParaRPr lang="en-US">
            <a:solidFill>
              <a:sysClr val="windowText" lastClr="000000">
                <a:hueOff val="0"/>
                <a:satOff val="0"/>
                <a:lumOff val="0"/>
                <a:alphaOff val="0"/>
              </a:sysClr>
            </a:solidFill>
            <a:latin typeface="Calibri"/>
            <a:ea typeface="+mn-ea"/>
            <a:cs typeface="+mn-cs"/>
          </a:endParaRPr>
        </a:p>
      </dgm:t>
    </dgm:pt>
    <dgm:pt modelId="{190F63B6-96C6-4412-A59A-6DD1023D9C0E}">
      <dgm:prSet custT="1"/>
      <dgm:spPr>
        <a:xfrm>
          <a:off x="1588732" y="859890"/>
          <a:ext cx="1035397" cy="621238"/>
        </a:xfrm>
      </dgm:spPr>
      <dgm:t>
        <a:bodyPr/>
        <a:lstStyle/>
        <a:p>
          <a:r>
            <a:rPr lang="en-US" sz="1200" b="1" i="1">
              <a:latin typeface="Calibri"/>
              <a:ea typeface="+mn-ea"/>
              <a:cs typeface="+mn-cs"/>
            </a:rPr>
            <a:t>Part 2: Recovery</a:t>
          </a:r>
        </a:p>
      </dgm:t>
    </dgm:pt>
    <dgm:pt modelId="{5873874B-F244-443C-AE40-F32C99935CB1}" type="sibTrans" cxnId="{E3D69650-FCAE-4746-841A-6630B8812440}">
      <dgm:prSet/>
      <dgm:spPr>
        <a:xfrm>
          <a:off x="2622329" y="1124790"/>
          <a:ext cx="207541" cy="91440"/>
        </a:xfrm>
      </dgm:spPr>
      <dgm:t>
        <a:bodyPr/>
        <a:lstStyle/>
        <a:p>
          <a:endParaRPr lang="en-US">
            <a:solidFill>
              <a:sysClr val="windowText" lastClr="000000">
                <a:hueOff val="0"/>
                <a:satOff val="0"/>
                <a:lumOff val="0"/>
                <a:alphaOff val="0"/>
              </a:sysClr>
            </a:solidFill>
            <a:latin typeface="Calibri"/>
            <a:ea typeface="+mn-ea"/>
            <a:cs typeface="+mn-cs"/>
          </a:endParaRPr>
        </a:p>
      </dgm:t>
    </dgm:pt>
    <dgm:pt modelId="{BFC47742-0B59-43F2-9C5A-954D7D9B9B01}" type="parTrans" cxnId="{E3D69650-FCAE-4746-841A-6630B8812440}">
      <dgm:prSet/>
      <dgm:spPr/>
      <dgm:t>
        <a:bodyPr/>
        <a:lstStyle/>
        <a:p>
          <a:endParaRPr lang="en-US"/>
        </a:p>
      </dgm:t>
    </dgm:pt>
    <dgm:pt modelId="{201B9806-964F-4DCC-88A8-7AEED1B2C2F3}">
      <dgm:prSet/>
      <dgm:spPr>
        <a:xfrm>
          <a:off x="315193" y="2578650"/>
          <a:ext cx="1035397" cy="621238"/>
        </a:xfrm>
      </dgm:spPr>
      <dgm:t>
        <a:bodyPr/>
        <a:lstStyle/>
        <a:p>
          <a:r>
            <a:rPr lang="en-US">
              <a:latin typeface="Calibri"/>
              <a:ea typeface="+mn-ea"/>
              <a:cs typeface="+mn-cs"/>
            </a:rPr>
            <a:t>Packaging</a:t>
          </a:r>
        </a:p>
      </dgm:t>
    </dgm:pt>
    <dgm:pt modelId="{9437BA0D-FD9E-4428-B239-503A66B39E39}" type="sibTrans" cxnId="{A39F5336-E1BD-488E-BB06-62A7A68208D7}">
      <dgm:prSet/>
      <dgm:spPr/>
      <dgm:t>
        <a:bodyPr/>
        <a:lstStyle/>
        <a:p>
          <a:endParaRPr lang="en-US"/>
        </a:p>
      </dgm:t>
    </dgm:pt>
    <dgm:pt modelId="{705DC40A-6315-4DED-A775-AA32B6142A97}" type="parTrans" cxnId="{A39F5336-E1BD-488E-BB06-62A7A68208D7}">
      <dgm:prSet/>
      <dgm:spPr/>
      <dgm:t>
        <a:bodyPr/>
        <a:lstStyle/>
        <a:p>
          <a:endParaRPr lang="en-US"/>
        </a:p>
      </dgm:t>
    </dgm:pt>
    <dgm:pt modelId="{7C8ABF2B-7DB2-4B30-9548-4D93EC862C5A}">
      <dgm:prSet/>
      <dgm:spPr>
        <a:xfrm>
          <a:off x="4135809" y="511"/>
          <a:ext cx="1035397" cy="621238"/>
        </a:xfrm>
      </dgm:spPr>
      <dgm:t>
        <a:bodyPr/>
        <a:lstStyle/>
        <a:p>
          <a:r>
            <a:rPr lang="en-US">
              <a:latin typeface="Calibri"/>
              <a:ea typeface="+mn-ea"/>
              <a:cs typeface="+mn-cs"/>
            </a:rPr>
            <a:t>Primary fermentation</a:t>
          </a:r>
        </a:p>
      </dgm:t>
    </dgm:pt>
    <dgm:pt modelId="{8B001C42-49B1-4819-86D8-716BB616BCB7}" type="parTrans" cxnId="{56D4B8BE-B2A0-446F-A158-6D77856E49B4}">
      <dgm:prSet/>
      <dgm:spPr/>
      <dgm:t>
        <a:bodyPr/>
        <a:lstStyle/>
        <a:p>
          <a:endParaRPr lang="en-US"/>
        </a:p>
      </dgm:t>
    </dgm:pt>
    <dgm:pt modelId="{9D02CB57-0F15-41C9-9757-E7ECCFFAFCD2}" type="sibTrans" cxnId="{56D4B8BE-B2A0-446F-A158-6D77856E49B4}">
      <dgm:prSet/>
      <dgm:spPr>
        <a:xfrm>
          <a:off x="832892" y="619949"/>
          <a:ext cx="3820615" cy="207541"/>
        </a:xfrm>
      </dgm:spPr>
      <dgm:t>
        <a:bodyPr/>
        <a:lstStyle/>
        <a:p>
          <a:endParaRPr lang="en-US">
            <a:solidFill>
              <a:sysClr val="windowText" lastClr="000000">
                <a:hueOff val="0"/>
                <a:satOff val="0"/>
                <a:lumOff val="0"/>
                <a:alphaOff val="0"/>
              </a:sysClr>
            </a:solidFill>
            <a:latin typeface="Calibri"/>
            <a:ea typeface="+mn-ea"/>
            <a:cs typeface="+mn-cs"/>
          </a:endParaRPr>
        </a:p>
      </dgm:t>
    </dgm:pt>
    <dgm:pt modelId="{DB276FC1-9A9E-44E0-919A-572D636AA6D4}">
      <dgm:prSet/>
      <dgm:spPr/>
      <dgm:t>
        <a:bodyPr/>
        <a:lstStyle/>
        <a:p>
          <a:r>
            <a:rPr lang="en-US">
              <a:latin typeface="Calibri"/>
              <a:ea typeface="+mn-ea"/>
              <a:cs typeface="+mn-cs"/>
            </a:rPr>
            <a:t>Drying and agglomerating</a:t>
          </a:r>
        </a:p>
      </dgm:t>
    </dgm:pt>
    <dgm:pt modelId="{199CFEBD-E454-4B6D-83B7-7E52DCA7AFE2}" type="parTrans" cxnId="{D8BDC82B-DF26-4CB5-8810-F8803F346ABE}">
      <dgm:prSet/>
      <dgm:spPr/>
      <dgm:t>
        <a:bodyPr/>
        <a:lstStyle/>
        <a:p>
          <a:endParaRPr lang="en-US"/>
        </a:p>
      </dgm:t>
    </dgm:pt>
    <dgm:pt modelId="{62039725-C984-48FF-87CF-6D938F481B54}" type="sibTrans" cxnId="{D8BDC82B-DF26-4CB5-8810-F8803F346ABE}">
      <dgm:prSet/>
      <dgm:spPr/>
      <dgm:t>
        <a:bodyPr/>
        <a:lstStyle/>
        <a:p>
          <a:endParaRPr lang="en-US"/>
        </a:p>
      </dgm:t>
    </dgm:pt>
    <dgm:pt modelId="{BF663F3D-86AF-46D8-9F13-CACC66052415}" type="pres">
      <dgm:prSet presAssocID="{8018874B-1901-4597-A592-A55F62C175FF}" presName="Name0" presStyleCnt="0">
        <dgm:presLayoutVars>
          <dgm:dir/>
          <dgm:resizeHandles val="exact"/>
        </dgm:presLayoutVars>
      </dgm:prSet>
      <dgm:spPr/>
      <dgm:t>
        <a:bodyPr/>
        <a:lstStyle/>
        <a:p>
          <a:endParaRPr lang="en-US"/>
        </a:p>
      </dgm:t>
    </dgm:pt>
    <dgm:pt modelId="{49F6E98B-AAB0-4761-ADE5-F2D5D0820341}" type="pres">
      <dgm:prSet presAssocID="{37AFDD02-FD50-41D3-8A8B-4045CBE2470A}" presName="node" presStyleLbl="node1" presStyleIdx="0" presStyleCnt="13">
        <dgm:presLayoutVars>
          <dgm:bulletEnabled val="1"/>
        </dgm:presLayoutVars>
      </dgm:prSet>
      <dgm:spPr/>
      <dgm:t>
        <a:bodyPr/>
        <a:lstStyle/>
        <a:p>
          <a:endParaRPr lang="en-US"/>
        </a:p>
      </dgm:t>
    </dgm:pt>
    <dgm:pt modelId="{62F300CD-00AD-4BE3-B1C5-A447446A31D4}" type="pres">
      <dgm:prSet presAssocID="{3708981B-D6D0-405F-BED0-126EE29F9FBC}" presName="sibTrans" presStyleLbl="sibTrans1D1" presStyleIdx="0" presStyleCnt="12"/>
      <dgm:spPr/>
      <dgm:t>
        <a:bodyPr/>
        <a:lstStyle/>
        <a:p>
          <a:endParaRPr lang="en-US"/>
        </a:p>
      </dgm:t>
    </dgm:pt>
    <dgm:pt modelId="{4D8FB2C2-48B5-4CE1-945C-EB1717364CDD}" type="pres">
      <dgm:prSet presAssocID="{3708981B-D6D0-405F-BED0-126EE29F9FBC}" presName="connectorText" presStyleLbl="sibTrans1D1" presStyleIdx="0" presStyleCnt="12"/>
      <dgm:spPr/>
      <dgm:t>
        <a:bodyPr/>
        <a:lstStyle/>
        <a:p>
          <a:endParaRPr lang="en-US"/>
        </a:p>
      </dgm:t>
    </dgm:pt>
    <dgm:pt modelId="{238E348A-7373-486E-8D50-F150B66ED430}" type="pres">
      <dgm:prSet presAssocID="{F4A20DFB-BD14-4976-BF1F-3E638D714CBA}" presName="node" presStyleLbl="node1" presStyleIdx="1" presStyleCnt="13">
        <dgm:presLayoutVars>
          <dgm:bulletEnabled val="1"/>
        </dgm:presLayoutVars>
      </dgm:prSet>
      <dgm:spPr/>
      <dgm:t>
        <a:bodyPr/>
        <a:lstStyle/>
        <a:p>
          <a:endParaRPr lang="en-US"/>
        </a:p>
      </dgm:t>
    </dgm:pt>
    <dgm:pt modelId="{E80FA827-AC6E-46BF-8468-10C08F18EB2E}" type="pres">
      <dgm:prSet presAssocID="{113CA7C1-6591-492D-A00C-7F7A39100EB8}" presName="sibTrans" presStyleLbl="sibTrans1D1" presStyleIdx="1" presStyleCnt="12"/>
      <dgm:spPr/>
      <dgm:t>
        <a:bodyPr/>
        <a:lstStyle/>
        <a:p>
          <a:endParaRPr lang="en-US"/>
        </a:p>
      </dgm:t>
    </dgm:pt>
    <dgm:pt modelId="{BB00EDEF-2441-4AD1-BE3C-78F66F43C5BE}" type="pres">
      <dgm:prSet presAssocID="{113CA7C1-6591-492D-A00C-7F7A39100EB8}" presName="connectorText" presStyleLbl="sibTrans1D1" presStyleIdx="1" presStyleCnt="12"/>
      <dgm:spPr/>
      <dgm:t>
        <a:bodyPr/>
        <a:lstStyle/>
        <a:p>
          <a:endParaRPr lang="en-US"/>
        </a:p>
      </dgm:t>
    </dgm:pt>
    <dgm:pt modelId="{8D3497A9-D13A-4EE7-8673-8F532CC394D8}" type="pres">
      <dgm:prSet presAssocID="{259A558C-19B0-4BB8-92CA-6E318EEB5E67}" presName="node" presStyleLbl="node1" presStyleIdx="2" presStyleCnt="13">
        <dgm:presLayoutVars>
          <dgm:bulletEnabled val="1"/>
        </dgm:presLayoutVars>
      </dgm:prSet>
      <dgm:spPr/>
      <dgm:t>
        <a:bodyPr/>
        <a:lstStyle/>
        <a:p>
          <a:endParaRPr lang="en-US"/>
        </a:p>
      </dgm:t>
    </dgm:pt>
    <dgm:pt modelId="{194BF217-FF6A-43C9-837A-B27015E04271}" type="pres">
      <dgm:prSet presAssocID="{C170584A-5DFB-48FC-99B5-48BF314B2C47}" presName="sibTrans" presStyleLbl="sibTrans1D1" presStyleIdx="2" presStyleCnt="12"/>
      <dgm:spPr/>
      <dgm:t>
        <a:bodyPr/>
        <a:lstStyle/>
        <a:p>
          <a:endParaRPr lang="en-US"/>
        </a:p>
      </dgm:t>
    </dgm:pt>
    <dgm:pt modelId="{EE39813A-87C4-48D6-BB4E-C58D3488EB90}" type="pres">
      <dgm:prSet presAssocID="{C170584A-5DFB-48FC-99B5-48BF314B2C47}" presName="connectorText" presStyleLbl="sibTrans1D1" presStyleIdx="2" presStyleCnt="12"/>
      <dgm:spPr/>
      <dgm:t>
        <a:bodyPr/>
        <a:lstStyle/>
        <a:p>
          <a:endParaRPr lang="en-US"/>
        </a:p>
      </dgm:t>
    </dgm:pt>
    <dgm:pt modelId="{D4731EAB-626E-4466-B4B8-CCE97B01E290}" type="pres">
      <dgm:prSet presAssocID="{7C8ABF2B-7DB2-4B30-9548-4D93EC862C5A}" presName="node" presStyleLbl="node1" presStyleIdx="3" presStyleCnt="13">
        <dgm:presLayoutVars>
          <dgm:bulletEnabled val="1"/>
        </dgm:presLayoutVars>
      </dgm:prSet>
      <dgm:spPr/>
      <dgm:t>
        <a:bodyPr/>
        <a:lstStyle/>
        <a:p>
          <a:endParaRPr lang="en-US"/>
        </a:p>
      </dgm:t>
    </dgm:pt>
    <dgm:pt modelId="{7CD5D5DE-EC97-42A2-9BBD-ECAE893A48E3}" type="pres">
      <dgm:prSet presAssocID="{9D02CB57-0F15-41C9-9757-E7ECCFFAFCD2}" presName="sibTrans" presStyleLbl="sibTrans1D1" presStyleIdx="3" presStyleCnt="12"/>
      <dgm:spPr/>
      <dgm:t>
        <a:bodyPr/>
        <a:lstStyle/>
        <a:p>
          <a:endParaRPr lang="en-US"/>
        </a:p>
      </dgm:t>
    </dgm:pt>
    <dgm:pt modelId="{3C168FED-1A24-445E-8CAE-1DFD48D336FA}" type="pres">
      <dgm:prSet presAssocID="{9D02CB57-0F15-41C9-9757-E7ECCFFAFCD2}" presName="connectorText" presStyleLbl="sibTrans1D1" presStyleIdx="3" presStyleCnt="12"/>
      <dgm:spPr/>
      <dgm:t>
        <a:bodyPr/>
        <a:lstStyle/>
        <a:p>
          <a:endParaRPr lang="en-US"/>
        </a:p>
      </dgm:t>
    </dgm:pt>
    <dgm:pt modelId="{BD393E2C-4063-4D0A-9058-06646357F279}" type="pres">
      <dgm:prSet presAssocID="{190F63B6-96C6-4412-A59A-6DD1023D9C0E}" presName="node" presStyleLbl="node1" presStyleIdx="4" presStyleCnt="13">
        <dgm:presLayoutVars>
          <dgm:bulletEnabled val="1"/>
        </dgm:presLayoutVars>
      </dgm:prSet>
      <dgm:spPr/>
      <dgm:t>
        <a:bodyPr/>
        <a:lstStyle/>
        <a:p>
          <a:endParaRPr lang="en-US"/>
        </a:p>
      </dgm:t>
    </dgm:pt>
    <dgm:pt modelId="{2022A5EC-DAE7-4787-86F2-C4D91BA2B2E4}" type="pres">
      <dgm:prSet presAssocID="{5873874B-F244-443C-AE40-F32C99935CB1}" presName="sibTrans" presStyleLbl="sibTrans1D1" presStyleIdx="4" presStyleCnt="12"/>
      <dgm:spPr/>
      <dgm:t>
        <a:bodyPr/>
        <a:lstStyle/>
        <a:p>
          <a:endParaRPr lang="en-US"/>
        </a:p>
      </dgm:t>
    </dgm:pt>
    <dgm:pt modelId="{FC4A8656-65EC-43AE-BCFC-04D3BF2E6E37}" type="pres">
      <dgm:prSet presAssocID="{5873874B-F244-443C-AE40-F32C99935CB1}" presName="connectorText" presStyleLbl="sibTrans1D1" presStyleIdx="4" presStyleCnt="12"/>
      <dgm:spPr/>
      <dgm:t>
        <a:bodyPr/>
        <a:lstStyle/>
        <a:p>
          <a:endParaRPr lang="en-US"/>
        </a:p>
      </dgm:t>
    </dgm:pt>
    <dgm:pt modelId="{E0BA3037-A004-49B5-8C3B-9F21D6829C48}" type="pres">
      <dgm:prSet presAssocID="{FE35EF82-1C16-4D50-8001-D61B7CC72945}" presName="node" presStyleLbl="node1" presStyleIdx="5" presStyleCnt="13">
        <dgm:presLayoutVars>
          <dgm:bulletEnabled val="1"/>
        </dgm:presLayoutVars>
      </dgm:prSet>
      <dgm:spPr/>
      <dgm:t>
        <a:bodyPr/>
        <a:lstStyle/>
        <a:p>
          <a:endParaRPr lang="en-US"/>
        </a:p>
      </dgm:t>
    </dgm:pt>
    <dgm:pt modelId="{C56818BB-83D6-4A59-AB78-52D7BF5B7542}" type="pres">
      <dgm:prSet presAssocID="{68DE40A2-F4D1-43DB-B4A1-18124EEC4DEB}" presName="sibTrans" presStyleLbl="sibTrans1D1" presStyleIdx="5" presStyleCnt="12"/>
      <dgm:spPr/>
      <dgm:t>
        <a:bodyPr/>
        <a:lstStyle/>
        <a:p>
          <a:endParaRPr lang="en-US"/>
        </a:p>
      </dgm:t>
    </dgm:pt>
    <dgm:pt modelId="{38BDEB44-467B-42F5-8D8D-04D37B1CC2DC}" type="pres">
      <dgm:prSet presAssocID="{68DE40A2-F4D1-43DB-B4A1-18124EEC4DEB}" presName="connectorText" presStyleLbl="sibTrans1D1" presStyleIdx="5" presStyleCnt="12"/>
      <dgm:spPr/>
      <dgm:t>
        <a:bodyPr/>
        <a:lstStyle/>
        <a:p>
          <a:endParaRPr lang="en-US"/>
        </a:p>
      </dgm:t>
    </dgm:pt>
    <dgm:pt modelId="{7665B1EA-6F7A-4C81-BD6B-CB5373641450}" type="pres">
      <dgm:prSet presAssocID="{378850F2-E665-4085-B257-B25B4981573F}" presName="node" presStyleLbl="node1" presStyleIdx="6" presStyleCnt="13">
        <dgm:presLayoutVars>
          <dgm:bulletEnabled val="1"/>
        </dgm:presLayoutVars>
      </dgm:prSet>
      <dgm:spPr/>
      <dgm:t>
        <a:bodyPr/>
        <a:lstStyle/>
        <a:p>
          <a:endParaRPr lang="en-US"/>
        </a:p>
      </dgm:t>
    </dgm:pt>
    <dgm:pt modelId="{13136952-D075-4D3B-A944-E7897D5705C5}" type="pres">
      <dgm:prSet presAssocID="{2047E5AF-EB3C-4541-BBEE-9DFE19B8526B}" presName="sibTrans" presStyleLbl="sibTrans1D1" presStyleIdx="6" presStyleCnt="12"/>
      <dgm:spPr/>
      <dgm:t>
        <a:bodyPr/>
        <a:lstStyle/>
        <a:p>
          <a:endParaRPr lang="en-US"/>
        </a:p>
      </dgm:t>
    </dgm:pt>
    <dgm:pt modelId="{C1CB8423-2DE1-4154-B464-373D5D37EEE2}" type="pres">
      <dgm:prSet presAssocID="{2047E5AF-EB3C-4541-BBEE-9DFE19B8526B}" presName="connectorText" presStyleLbl="sibTrans1D1" presStyleIdx="6" presStyleCnt="12"/>
      <dgm:spPr/>
      <dgm:t>
        <a:bodyPr/>
        <a:lstStyle/>
        <a:p>
          <a:endParaRPr lang="en-US"/>
        </a:p>
      </dgm:t>
    </dgm:pt>
    <dgm:pt modelId="{ABC9F4BF-2856-4462-BF1F-788BE068556B}" type="pres">
      <dgm:prSet presAssocID="{C2E2E1BA-C234-42FD-8946-91E1BE3CF046}" presName="node" presStyleLbl="node1" presStyleIdx="7" presStyleCnt="13">
        <dgm:presLayoutVars>
          <dgm:bulletEnabled val="1"/>
        </dgm:presLayoutVars>
      </dgm:prSet>
      <dgm:spPr/>
      <dgm:t>
        <a:bodyPr/>
        <a:lstStyle/>
        <a:p>
          <a:endParaRPr lang="en-US"/>
        </a:p>
      </dgm:t>
    </dgm:pt>
    <dgm:pt modelId="{7F6A7D66-819C-4272-89D9-46DD14E843B1}" type="pres">
      <dgm:prSet presAssocID="{D9DE9B2C-02BC-4169-A59D-B6C5E0E7A5E5}" presName="sibTrans" presStyleLbl="sibTrans1D1" presStyleIdx="7" presStyleCnt="12"/>
      <dgm:spPr/>
      <dgm:t>
        <a:bodyPr/>
        <a:lstStyle/>
        <a:p>
          <a:endParaRPr lang="en-US"/>
        </a:p>
      </dgm:t>
    </dgm:pt>
    <dgm:pt modelId="{6B9D0C00-7022-4DED-8FBD-AA473A1D69C7}" type="pres">
      <dgm:prSet presAssocID="{D9DE9B2C-02BC-4169-A59D-B6C5E0E7A5E5}" presName="connectorText" presStyleLbl="sibTrans1D1" presStyleIdx="7" presStyleCnt="12"/>
      <dgm:spPr/>
      <dgm:t>
        <a:bodyPr/>
        <a:lstStyle/>
        <a:p>
          <a:endParaRPr lang="en-US"/>
        </a:p>
      </dgm:t>
    </dgm:pt>
    <dgm:pt modelId="{DB0060EE-8BE3-4A96-9A6F-0C20502F8D48}" type="pres">
      <dgm:prSet presAssocID="{BBD56BCB-15B0-4A75-BEDC-10CEA9EB75B6}" presName="node" presStyleLbl="node1" presStyleIdx="8" presStyleCnt="13">
        <dgm:presLayoutVars>
          <dgm:bulletEnabled val="1"/>
        </dgm:presLayoutVars>
      </dgm:prSet>
      <dgm:spPr/>
      <dgm:t>
        <a:bodyPr/>
        <a:lstStyle/>
        <a:p>
          <a:endParaRPr lang="en-US"/>
        </a:p>
      </dgm:t>
    </dgm:pt>
    <dgm:pt modelId="{9075BD58-F2AC-4C16-A220-4C807C79D6DB}" type="pres">
      <dgm:prSet presAssocID="{EF1E943F-1A87-4C9C-B896-43E026130541}" presName="sibTrans" presStyleLbl="sibTrans1D1" presStyleIdx="8" presStyleCnt="12"/>
      <dgm:spPr/>
      <dgm:t>
        <a:bodyPr/>
        <a:lstStyle/>
        <a:p>
          <a:endParaRPr lang="en-US"/>
        </a:p>
      </dgm:t>
    </dgm:pt>
    <dgm:pt modelId="{F2D70B48-6091-4916-8008-996E09B4CB8E}" type="pres">
      <dgm:prSet presAssocID="{EF1E943F-1A87-4C9C-B896-43E026130541}" presName="connectorText" presStyleLbl="sibTrans1D1" presStyleIdx="8" presStyleCnt="12"/>
      <dgm:spPr/>
      <dgm:t>
        <a:bodyPr/>
        <a:lstStyle/>
        <a:p>
          <a:endParaRPr lang="en-US"/>
        </a:p>
      </dgm:t>
    </dgm:pt>
    <dgm:pt modelId="{37FEEE3D-9175-49B8-A95E-25BC592745FE}" type="pres">
      <dgm:prSet presAssocID="{DB276FC1-9A9E-44E0-919A-572D636AA6D4}" presName="node" presStyleLbl="node1" presStyleIdx="9" presStyleCnt="13">
        <dgm:presLayoutVars>
          <dgm:bulletEnabled val="1"/>
        </dgm:presLayoutVars>
      </dgm:prSet>
      <dgm:spPr/>
      <dgm:t>
        <a:bodyPr/>
        <a:lstStyle/>
        <a:p>
          <a:endParaRPr lang="en-US"/>
        </a:p>
      </dgm:t>
    </dgm:pt>
    <dgm:pt modelId="{16637BC5-7FCA-47E5-B3D5-0D70E2D6DF9B}" type="pres">
      <dgm:prSet presAssocID="{62039725-C984-48FF-87CF-6D938F481B54}" presName="sibTrans" presStyleLbl="sibTrans1D1" presStyleIdx="9" presStyleCnt="12"/>
      <dgm:spPr/>
      <dgm:t>
        <a:bodyPr/>
        <a:lstStyle/>
        <a:p>
          <a:endParaRPr lang="en-US"/>
        </a:p>
      </dgm:t>
    </dgm:pt>
    <dgm:pt modelId="{93CA6E3E-2D55-436B-886E-ECF2F69F792F}" type="pres">
      <dgm:prSet presAssocID="{62039725-C984-48FF-87CF-6D938F481B54}" presName="connectorText" presStyleLbl="sibTrans1D1" presStyleIdx="9" presStyleCnt="12"/>
      <dgm:spPr/>
      <dgm:t>
        <a:bodyPr/>
        <a:lstStyle/>
        <a:p>
          <a:endParaRPr lang="en-US"/>
        </a:p>
      </dgm:t>
    </dgm:pt>
    <dgm:pt modelId="{A9E494D1-0245-4B96-83CD-6AB7EFD50F9E}" type="pres">
      <dgm:prSet presAssocID="{EEE9D1AD-3E43-4AE2-8D14-447514F919F0}" presName="node" presStyleLbl="node1" presStyleIdx="10" presStyleCnt="13">
        <dgm:presLayoutVars>
          <dgm:bulletEnabled val="1"/>
        </dgm:presLayoutVars>
      </dgm:prSet>
      <dgm:spPr/>
      <dgm:t>
        <a:bodyPr/>
        <a:lstStyle/>
        <a:p>
          <a:endParaRPr lang="en-US"/>
        </a:p>
      </dgm:t>
    </dgm:pt>
    <dgm:pt modelId="{5BAE9DDB-4274-4A5F-988D-5110778326A5}" type="pres">
      <dgm:prSet presAssocID="{433F0AFA-AE75-4302-A9C7-DE783ED3A775}" presName="sibTrans" presStyleLbl="sibTrans1D1" presStyleIdx="10" presStyleCnt="12"/>
      <dgm:spPr/>
      <dgm:t>
        <a:bodyPr/>
        <a:lstStyle/>
        <a:p>
          <a:endParaRPr lang="en-US"/>
        </a:p>
      </dgm:t>
    </dgm:pt>
    <dgm:pt modelId="{17DE22D6-8A3A-4AF2-8BD4-E399888A1C95}" type="pres">
      <dgm:prSet presAssocID="{433F0AFA-AE75-4302-A9C7-DE783ED3A775}" presName="connectorText" presStyleLbl="sibTrans1D1" presStyleIdx="10" presStyleCnt="12"/>
      <dgm:spPr/>
      <dgm:t>
        <a:bodyPr/>
        <a:lstStyle/>
        <a:p>
          <a:endParaRPr lang="en-US"/>
        </a:p>
      </dgm:t>
    </dgm:pt>
    <dgm:pt modelId="{4317AD1F-CB34-4659-B382-0B9CA188FD9A}" type="pres">
      <dgm:prSet presAssocID="{FD3347C8-31B1-4F6B-9EDA-1EA8A7345D4E}" presName="node" presStyleLbl="node1" presStyleIdx="11" presStyleCnt="13">
        <dgm:presLayoutVars>
          <dgm:bulletEnabled val="1"/>
        </dgm:presLayoutVars>
      </dgm:prSet>
      <dgm:spPr/>
      <dgm:t>
        <a:bodyPr/>
        <a:lstStyle/>
        <a:p>
          <a:endParaRPr lang="en-US"/>
        </a:p>
      </dgm:t>
    </dgm:pt>
    <dgm:pt modelId="{9D30515B-5796-4325-A227-999726F66100}" type="pres">
      <dgm:prSet presAssocID="{ECEC388C-040C-4648-B210-BD1FF90973CC}" presName="sibTrans" presStyleLbl="sibTrans1D1" presStyleIdx="11" presStyleCnt="12"/>
      <dgm:spPr/>
      <dgm:t>
        <a:bodyPr/>
        <a:lstStyle/>
        <a:p>
          <a:endParaRPr lang="en-US"/>
        </a:p>
      </dgm:t>
    </dgm:pt>
    <dgm:pt modelId="{31A47B85-8957-4E99-BAC4-BDF132771D22}" type="pres">
      <dgm:prSet presAssocID="{ECEC388C-040C-4648-B210-BD1FF90973CC}" presName="connectorText" presStyleLbl="sibTrans1D1" presStyleIdx="11" presStyleCnt="12"/>
      <dgm:spPr/>
      <dgm:t>
        <a:bodyPr/>
        <a:lstStyle/>
        <a:p>
          <a:endParaRPr lang="en-US"/>
        </a:p>
      </dgm:t>
    </dgm:pt>
    <dgm:pt modelId="{7EC61A13-2FF2-468C-9E0B-D4A7AF43222F}" type="pres">
      <dgm:prSet presAssocID="{201B9806-964F-4DCC-88A8-7AEED1B2C2F3}" presName="node" presStyleLbl="node1" presStyleIdx="12" presStyleCnt="13">
        <dgm:presLayoutVars>
          <dgm:bulletEnabled val="1"/>
        </dgm:presLayoutVars>
      </dgm:prSet>
      <dgm:spPr/>
      <dgm:t>
        <a:bodyPr/>
        <a:lstStyle/>
        <a:p>
          <a:endParaRPr lang="en-US"/>
        </a:p>
      </dgm:t>
    </dgm:pt>
  </dgm:ptLst>
  <dgm:cxnLst>
    <dgm:cxn modelId="{720CE596-2D72-4FE3-8834-1BBBD7D13338}" type="presOf" srcId="{9D02CB57-0F15-41C9-9757-E7ECCFFAFCD2}" destId="{3C168FED-1A24-445E-8CAE-1DFD48D336FA}" srcOrd="1" destOrd="0" presId="urn:microsoft.com/office/officeart/2005/8/layout/bProcess3"/>
    <dgm:cxn modelId="{1C941162-CD54-4E54-9683-4588722741AF}" type="presOf" srcId="{378850F2-E665-4085-B257-B25B4981573F}" destId="{7665B1EA-6F7A-4C81-BD6B-CB5373641450}" srcOrd="0" destOrd="0" presId="urn:microsoft.com/office/officeart/2005/8/layout/bProcess3"/>
    <dgm:cxn modelId="{3776169B-C011-47CB-B38F-70DADE49349D}" srcId="{8018874B-1901-4597-A592-A55F62C175FF}" destId="{378850F2-E665-4085-B257-B25B4981573F}" srcOrd="6" destOrd="0" parTransId="{3F45A0C7-0A4D-49CF-A507-630DDD8E5381}" sibTransId="{2047E5AF-EB3C-4541-BBEE-9DFE19B8526B}"/>
    <dgm:cxn modelId="{51BE709B-6F1B-4308-8B16-2CD5010A13F5}" type="presOf" srcId="{433F0AFA-AE75-4302-A9C7-DE783ED3A775}" destId="{17DE22D6-8A3A-4AF2-8BD4-E399888A1C95}" srcOrd="1" destOrd="0" presId="urn:microsoft.com/office/officeart/2005/8/layout/bProcess3"/>
    <dgm:cxn modelId="{4C286765-9EA1-463A-B946-BFCFDE535E6D}" srcId="{8018874B-1901-4597-A592-A55F62C175FF}" destId="{FE35EF82-1C16-4D50-8001-D61B7CC72945}" srcOrd="5" destOrd="0" parTransId="{E05AD591-0F5D-4B98-B11A-F7E73060D09C}" sibTransId="{68DE40A2-F4D1-43DB-B4A1-18124EEC4DEB}"/>
    <dgm:cxn modelId="{E0754DC9-0A95-40FE-A4DC-5D3FD30CA477}" type="presOf" srcId="{C170584A-5DFB-48FC-99B5-48BF314B2C47}" destId="{EE39813A-87C4-48D6-BB4E-C58D3488EB90}" srcOrd="1" destOrd="0" presId="urn:microsoft.com/office/officeart/2005/8/layout/bProcess3"/>
    <dgm:cxn modelId="{D0A5912F-5CEC-4F8A-9956-317FCC5A8B40}" srcId="{8018874B-1901-4597-A592-A55F62C175FF}" destId="{F4A20DFB-BD14-4976-BF1F-3E638D714CBA}" srcOrd="1" destOrd="0" parTransId="{6BED993B-FA06-403A-B2AF-F92F0A1B9694}" sibTransId="{113CA7C1-6591-492D-A00C-7F7A39100EB8}"/>
    <dgm:cxn modelId="{1F543629-0232-4A98-B21B-44C20170AC4F}" type="presOf" srcId="{2047E5AF-EB3C-4541-BBEE-9DFE19B8526B}" destId="{C1CB8423-2DE1-4154-B464-373D5D37EEE2}" srcOrd="1" destOrd="0" presId="urn:microsoft.com/office/officeart/2005/8/layout/bProcess3"/>
    <dgm:cxn modelId="{37A558C2-4300-4123-8CA1-E9BEB6CD7D3E}" srcId="{8018874B-1901-4597-A592-A55F62C175FF}" destId="{C2E2E1BA-C234-42FD-8946-91E1BE3CF046}" srcOrd="7" destOrd="0" parTransId="{0AEC5282-46DD-4136-9A83-2F37B89B2A6B}" sibTransId="{D9DE9B2C-02BC-4169-A59D-B6C5E0E7A5E5}"/>
    <dgm:cxn modelId="{FA2F7AAE-F00A-403A-BA08-3C7563551E93}" type="presOf" srcId="{D9DE9B2C-02BC-4169-A59D-B6C5E0E7A5E5}" destId="{6B9D0C00-7022-4DED-8FBD-AA473A1D69C7}" srcOrd="1" destOrd="0" presId="urn:microsoft.com/office/officeart/2005/8/layout/bProcess3"/>
    <dgm:cxn modelId="{6039B996-864B-49D3-B7B4-6754E8921959}" type="presOf" srcId="{C170584A-5DFB-48FC-99B5-48BF314B2C47}" destId="{194BF217-FF6A-43C9-837A-B27015E04271}" srcOrd="0" destOrd="0" presId="urn:microsoft.com/office/officeart/2005/8/layout/bProcess3"/>
    <dgm:cxn modelId="{5548058D-34F1-460E-9169-599C47047AF9}" type="presOf" srcId="{62039725-C984-48FF-87CF-6D938F481B54}" destId="{16637BC5-7FCA-47E5-B3D5-0D70E2D6DF9B}" srcOrd="0" destOrd="0" presId="urn:microsoft.com/office/officeart/2005/8/layout/bProcess3"/>
    <dgm:cxn modelId="{C88334CE-1BFB-472C-BC76-7BEFB2A04F53}" type="presOf" srcId="{433F0AFA-AE75-4302-A9C7-DE783ED3A775}" destId="{5BAE9DDB-4274-4A5F-988D-5110778326A5}" srcOrd="0" destOrd="0" presId="urn:microsoft.com/office/officeart/2005/8/layout/bProcess3"/>
    <dgm:cxn modelId="{505EACE6-1EF6-4ED4-B118-A0BD087205F1}" type="presOf" srcId="{201B9806-964F-4DCC-88A8-7AEED1B2C2F3}" destId="{7EC61A13-2FF2-468C-9E0B-D4A7AF43222F}" srcOrd="0" destOrd="0" presId="urn:microsoft.com/office/officeart/2005/8/layout/bProcess3"/>
    <dgm:cxn modelId="{A022D7A8-4490-4015-BD72-8D8A9210D656}" srcId="{8018874B-1901-4597-A592-A55F62C175FF}" destId="{FD3347C8-31B1-4F6B-9EDA-1EA8A7345D4E}" srcOrd="11" destOrd="0" parTransId="{509A11E1-A444-4DE2-BBD2-DDBBC96E397F}" sibTransId="{ECEC388C-040C-4648-B210-BD1FF90973CC}"/>
    <dgm:cxn modelId="{3F281764-9311-4198-90F8-084FB5BA4F7A}" type="presOf" srcId="{190F63B6-96C6-4412-A59A-6DD1023D9C0E}" destId="{BD393E2C-4063-4D0A-9058-06646357F279}" srcOrd="0" destOrd="0" presId="urn:microsoft.com/office/officeart/2005/8/layout/bProcess3"/>
    <dgm:cxn modelId="{0E948673-E2F1-4900-B6B6-5BEDDC256879}" type="presOf" srcId="{FE35EF82-1C16-4D50-8001-D61B7CC72945}" destId="{E0BA3037-A004-49B5-8C3B-9F21D6829C48}" srcOrd="0" destOrd="0" presId="urn:microsoft.com/office/officeart/2005/8/layout/bProcess3"/>
    <dgm:cxn modelId="{2C8F7203-CFD8-4D60-9A47-3C6660F4AF18}" type="presOf" srcId="{C2E2E1BA-C234-42FD-8946-91E1BE3CF046}" destId="{ABC9F4BF-2856-4462-BF1F-788BE068556B}" srcOrd="0" destOrd="0" presId="urn:microsoft.com/office/officeart/2005/8/layout/bProcess3"/>
    <dgm:cxn modelId="{BF9332BD-B294-4C52-99B2-FF17DD369DDC}" srcId="{8018874B-1901-4597-A592-A55F62C175FF}" destId="{259A558C-19B0-4BB8-92CA-6E318EEB5E67}" srcOrd="2" destOrd="0" parTransId="{71958C7E-E744-40E7-ABE0-8ED2E6F5209D}" sibTransId="{C170584A-5DFB-48FC-99B5-48BF314B2C47}"/>
    <dgm:cxn modelId="{E61587AB-77E1-4E0E-9F9A-3B4C7CAFFE2A}" type="presOf" srcId="{ECEC388C-040C-4648-B210-BD1FF90973CC}" destId="{31A47B85-8957-4E99-BAC4-BDF132771D22}" srcOrd="1" destOrd="0" presId="urn:microsoft.com/office/officeart/2005/8/layout/bProcess3"/>
    <dgm:cxn modelId="{A39F5336-E1BD-488E-BB06-62A7A68208D7}" srcId="{8018874B-1901-4597-A592-A55F62C175FF}" destId="{201B9806-964F-4DCC-88A8-7AEED1B2C2F3}" srcOrd="12" destOrd="0" parTransId="{705DC40A-6315-4DED-A775-AA32B6142A97}" sibTransId="{9437BA0D-FD9E-4428-B239-503A66B39E39}"/>
    <dgm:cxn modelId="{56D4B8BE-B2A0-446F-A158-6D77856E49B4}" srcId="{8018874B-1901-4597-A592-A55F62C175FF}" destId="{7C8ABF2B-7DB2-4B30-9548-4D93EC862C5A}" srcOrd="3" destOrd="0" parTransId="{8B001C42-49B1-4819-86D8-716BB616BCB7}" sibTransId="{9D02CB57-0F15-41C9-9757-E7ECCFFAFCD2}"/>
    <dgm:cxn modelId="{F0F6F42C-4E9F-4510-A8CD-07E08975DE10}" srcId="{8018874B-1901-4597-A592-A55F62C175FF}" destId="{EEE9D1AD-3E43-4AE2-8D14-447514F919F0}" srcOrd="10" destOrd="0" parTransId="{A422414B-B5DE-4E71-9ACB-2457750F8EDB}" sibTransId="{433F0AFA-AE75-4302-A9C7-DE783ED3A775}"/>
    <dgm:cxn modelId="{EA10F65F-93CF-41A8-9A70-BBA9CB4F97B3}" type="presOf" srcId="{8018874B-1901-4597-A592-A55F62C175FF}" destId="{BF663F3D-86AF-46D8-9F13-CACC66052415}" srcOrd="0" destOrd="0" presId="urn:microsoft.com/office/officeart/2005/8/layout/bProcess3"/>
    <dgm:cxn modelId="{01781AA2-381B-4AA7-9FEC-027F0CCA54FA}" type="presOf" srcId="{259A558C-19B0-4BB8-92CA-6E318EEB5E67}" destId="{8D3497A9-D13A-4EE7-8673-8F532CC394D8}" srcOrd="0" destOrd="0" presId="urn:microsoft.com/office/officeart/2005/8/layout/bProcess3"/>
    <dgm:cxn modelId="{F9B531C8-E89B-4103-9695-6228B47C2B7E}" type="presOf" srcId="{3708981B-D6D0-405F-BED0-126EE29F9FBC}" destId="{4D8FB2C2-48B5-4CE1-945C-EB1717364CDD}" srcOrd="1" destOrd="0" presId="urn:microsoft.com/office/officeart/2005/8/layout/bProcess3"/>
    <dgm:cxn modelId="{DBE6453C-6039-4AAF-8DBE-CCBAAD9FB79E}" type="presOf" srcId="{F4A20DFB-BD14-4976-BF1F-3E638D714CBA}" destId="{238E348A-7373-486E-8D50-F150B66ED430}" srcOrd="0" destOrd="0" presId="urn:microsoft.com/office/officeart/2005/8/layout/bProcess3"/>
    <dgm:cxn modelId="{1524DF57-7587-4116-8030-A5D283825D2C}" type="presOf" srcId="{9D02CB57-0F15-41C9-9757-E7ECCFFAFCD2}" destId="{7CD5D5DE-EC97-42A2-9BBD-ECAE893A48E3}" srcOrd="0" destOrd="0" presId="urn:microsoft.com/office/officeart/2005/8/layout/bProcess3"/>
    <dgm:cxn modelId="{37FFE4A2-2368-42D7-BA84-CAD35821DFB5}" type="presOf" srcId="{37AFDD02-FD50-41D3-8A8B-4045CBE2470A}" destId="{49F6E98B-AAB0-4761-ADE5-F2D5D0820341}" srcOrd="0" destOrd="0" presId="urn:microsoft.com/office/officeart/2005/8/layout/bProcess3"/>
    <dgm:cxn modelId="{C2A69D33-899F-48D4-BC44-E9D432608CF1}" type="presOf" srcId="{EF1E943F-1A87-4C9C-B896-43E026130541}" destId="{F2D70B48-6091-4916-8008-996E09B4CB8E}" srcOrd="1" destOrd="0" presId="urn:microsoft.com/office/officeart/2005/8/layout/bProcess3"/>
    <dgm:cxn modelId="{4BE029BE-5211-4271-83E6-1D7C91811D39}" type="presOf" srcId="{113CA7C1-6591-492D-A00C-7F7A39100EB8}" destId="{BB00EDEF-2441-4AD1-BE3C-78F66F43C5BE}" srcOrd="1" destOrd="0" presId="urn:microsoft.com/office/officeart/2005/8/layout/bProcess3"/>
    <dgm:cxn modelId="{C2795FB6-3205-4D67-A3DC-FBFF654108F5}" type="presOf" srcId="{EEE9D1AD-3E43-4AE2-8D14-447514F919F0}" destId="{A9E494D1-0245-4B96-83CD-6AB7EFD50F9E}" srcOrd="0" destOrd="0" presId="urn:microsoft.com/office/officeart/2005/8/layout/bProcess3"/>
    <dgm:cxn modelId="{D8BDC82B-DF26-4CB5-8810-F8803F346ABE}" srcId="{8018874B-1901-4597-A592-A55F62C175FF}" destId="{DB276FC1-9A9E-44E0-919A-572D636AA6D4}" srcOrd="9" destOrd="0" parTransId="{199CFEBD-E454-4B6D-83B7-7E52DCA7AFE2}" sibTransId="{62039725-C984-48FF-87CF-6D938F481B54}"/>
    <dgm:cxn modelId="{84C8ABD7-5384-4E21-A040-D7E0DE62F155}" type="presOf" srcId="{2047E5AF-EB3C-4541-BBEE-9DFE19B8526B}" destId="{13136952-D075-4D3B-A944-E7897D5705C5}" srcOrd="0" destOrd="0" presId="urn:microsoft.com/office/officeart/2005/8/layout/bProcess3"/>
    <dgm:cxn modelId="{B0D08A6A-4926-41C8-AB3A-6FA3B2C31E88}" type="presOf" srcId="{62039725-C984-48FF-87CF-6D938F481B54}" destId="{93CA6E3E-2D55-436B-886E-ECF2F69F792F}" srcOrd="1" destOrd="0" presId="urn:microsoft.com/office/officeart/2005/8/layout/bProcess3"/>
    <dgm:cxn modelId="{99713A08-92B5-4B37-8AD4-F17DBF59AD61}" type="presOf" srcId="{5873874B-F244-443C-AE40-F32C99935CB1}" destId="{FC4A8656-65EC-43AE-BCFC-04D3BF2E6E37}" srcOrd="1" destOrd="0" presId="urn:microsoft.com/office/officeart/2005/8/layout/bProcess3"/>
    <dgm:cxn modelId="{07A3CF90-449E-4124-A8BA-AC71C25AB7C1}" type="presOf" srcId="{D9DE9B2C-02BC-4169-A59D-B6C5E0E7A5E5}" destId="{7F6A7D66-819C-4272-89D9-46DD14E843B1}" srcOrd="0" destOrd="0" presId="urn:microsoft.com/office/officeart/2005/8/layout/bProcess3"/>
    <dgm:cxn modelId="{937805D2-4B1D-44A8-AA3D-32FE07CD8336}" type="presOf" srcId="{3708981B-D6D0-405F-BED0-126EE29F9FBC}" destId="{62F300CD-00AD-4BE3-B1C5-A447446A31D4}" srcOrd="0" destOrd="0" presId="urn:microsoft.com/office/officeart/2005/8/layout/bProcess3"/>
    <dgm:cxn modelId="{DE372A16-D7CC-4BFE-BEBA-511941EA9DD6}" type="presOf" srcId="{EF1E943F-1A87-4C9C-B896-43E026130541}" destId="{9075BD58-F2AC-4C16-A220-4C807C79D6DB}" srcOrd="0" destOrd="0" presId="urn:microsoft.com/office/officeart/2005/8/layout/bProcess3"/>
    <dgm:cxn modelId="{9EDF5719-F1A2-4E31-AC2A-D963715E45B5}" srcId="{8018874B-1901-4597-A592-A55F62C175FF}" destId="{BBD56BCB-15B0-4A75-BEDC-10CEA9EB75B6}" srcOrd="8" destOrd="0" parTransId="{2AA308FF-0DD1-46C1-A9FD-3EF6EDD52F93}" sibTransId="{EF1E943F-1A87-4C9C-B896-43E026130541}"/>
    <dgm:cxn modelId="{F7543AA8-BD4C-44C6-AF5E-EC15B173DEA6}" type="presOf" srcId="{FD3347C8-31B1-4F6B-9EDA-1EA8A7345D4E}" destId="{4317AD1F-CB34-4659-B382-0B9CA188FD9A}" srcOrd="0" destOrd="0" presId="urn:microsoft.com/office/officeart/2005/8/layout/bProcess3"/>
    <dgm:cxn modelId="{7EC46BB9-8A28-4820-9577-8E4678B9245B}" type="presOf" srcId="{68DE40A2-F4D1-43DB-B4A1-18124EEC4DEB}" destId="{38BDEB44-467B-42F5-8D8D-04D37B1CC2DC}" srcOrd="1" destOrd="0" presId="urn:microsoft.com/office/officeart/2005/8/layout/bProcess3"/>
    <dgm:cxn modelId="{C75B867B-B240-4570-8F81-733D61752BF1}" type="presOf" srcId="{113CA7C1-6591-492D-A00C-7F7A39100EB8}" destId="{E80FA827-AC6E-46BF-8468-10C08F18EB2E}" srcOrd="0" destOrd="0" presId="urn:microsoft.com/office/officeart/2005/8/layout/bProcess3"/>
    <dgm:cxn modelId="{10AF1211-A379-47DC-9007-3A0778C11D2B}" type="presOf" srcId="{5873874B-F244-443C-AE40-F32C99935CB1}" destId="{2022A5EC-DAE7-4787-86F2-C4D91BA2B2E4}" srcOrd="0" destOrd="0" presId="urn:microsoft.com/office/officeart/2005/8/layout/bProcess3"/>
    <dgm:cxn modelId="{6BDB9D59-1590-4795-BDDA-7201B1AF0844}" type="presOf" srcId="{DB276FC1-9A9E-44E0-919A-572D636AA6D4}" destId="{37FEEE3D-9175-49B8-A95E-25BC592745FE}" srcOrd="0" destOrd="0" presId="urn:microsoft.com/office/officeart/2005/8/layout/bProcess3"/>
    <dgm:cxn modelId="{6DD2D380-C444-4DF4-AF6A-05CC1E3F26CA}" type="presOf" srcId="{68DE40A2-F4D1-43DB-B4A1-18124EEC4DEB}" destId="{C56818BB-83D6-4A59-AB78-52D7BF5B7542}" srcOrd="0" destOrd="0" presId="urn:microsoft.com/office/officeart/2005/8/layout/bProcess3"/>
    <dgm:cxn modelId="{32232CDF-C314-477B-B5CC-515F3953E6D5}" type="presOf" srcId="{BBD56BCB-15B0-4A75-BEDC-10CEA9EB75B6}" destId="{DB0060EE-8BE3-4A96-9A6F-0C20502F8D48}" srcOrd="0" destOrd="0" presId="urn:microsoft.com/office/officeart/2005/8/layout/bProcess3"/>
    <dgm:cxn modelId="{C21E4033-201C-47DA-A4F4-8BEA22D6A2C1}" type="presOf" srcId="{ECEC388C-040C-4648-B210-BD1FF90973CC}" destId="{9D30515B-5796-4325-A227-999726F66100}" srcOrd="0" destOrd="0" presId="urn:microsoft.com/office/officeart/2005/8/layout/bProcess3"/>
    <dgm:cxn modelId="{EABA1435-240A-45B0-9594-0DFCB40FE533}" srcId="{8018874B-1901-4597-A592-A55F62C175FF}" destId="{37AFDD02-FD50-41D3-8A8B-4045CBE2470A}" srcOrd="0" destOrd="0" parTransId="{372617D9-93DF-40A7-A4BC-165C34B7AB0C}" sibTransId="{3708981B-D6D0-405F-BED0-126EE29F9FBC}"/>
    <dgm:cxn modelId="{E3D69650-FCAE-4746-841A-6630B8812440}" srcId="{8018874B-1901-4597-A592-A55F62C175FF}" destId="{190F63B6-96C6-4412-A59A-6DD1023D9C0E}" srcOrd="4" destOrd="0" parTransId="{BFC47742-0B59-43F2-9C5A-954D7D9B9B01}" sibTransId="{5873874B-F244-443C-AE40-F32C99935CB1}"/>
    <dgm:cxn modelId="{F64E6A22-CD8D-49E7-95AB-E0B5A8750A20}" type="presOf" srcId="{7C8ABF2B-7DB2-4B30-9548-4D93EC862C5A}" destId="{D4731EAB-626E-4466-B4B8-CCE97B01E290}" srcOrd="0" destOrd="0" presId="urn:microsoft.com/office/officeart/2005/8/layout/bProcess3"/>
    <dgm:cxn modelId="{CFA2F82F-48BE-46CB-94C4-3C82F2E8078E}" type="presParOf" srcId="{BF663F3D-86AF-46D8-9F13-CACC66052415}" destId="{49F6E98B-AAB0-4761-ADE5-F2D5D0820341}" srcOrd="0" destOrd="0" presId="urn:microsoft.com/office/officeart/2005/8/layout/bProcess3"/>
    <dgm:cxn modelId="{FEA8A4A2-C083-4806-8036-EBFEE604DA86}" type="presParOf" srcId="{BF663F3D-86AF-46D8-9F13-CACC66052415}" destId="{62F300CD-00AD-4BE3-B1C5-A447446A31D4}" srcOrd="1" destOrd="0" presId="urn:microsoft.com/office/officeart/2005/8/layout/bProcess3"/>
    <dgm:cxn modelId="{B341C6DA-CAD9-4989-A673-E4489109A1A7}" type="presParOf" srcId="{62F300CD-00AD-4BE3-B1C5-A447446A31D4}" destId="{4D8FB2C2-48B5-4CE1-945C-EB1717364CDD}" srcOrd="0" destOrd="0" presId="urn:microsoft.com/office/officeart/2005/8/layout/bProcess3"/>
    <dgm:cxn modelId="{0B4C6527-AFB8-41E2-BE84-4E61D54E70F8}" type="presParOf" srcId="{BF663F3D-86AF-46D8-9F13-CACC66052415}" destId="{238E348A-7373-486E-8D50-F150B66ED430}" srcOrd="2" destOrd="0" presId="urn:microsoft.com/office/officeart/2005/8/layout/bProcess3"/>
    <dgm:cxn modelId="{D0B87E20-0C3A-4003-950D-87BE2866FEC9}" type="presParOf" srcId="{BF663F3D-86AF-46D8-9F13-CACC66052415}" destId="{E80FA827-AC6E-46BF-8468-10C08F18EB2E}" srcOrd="3" destOrd="0" presId="urn:microsoft.com/office/officeart/2005/8/layout/bProcess3"/>
    <dgm:cxn modelId="{C5015558-7CF6-4B43-9B02-5C3AFB6C8713}" type="presParOf" srcId="{E80FA827-AC6E-46BF-8468-10C08F18EB2E}" destId="{BB00EDEF-2441-4AD1-BE3C-78F66F43C5BE}" srcOrd="0" destOrd="0" presId="urn:microsoft.com/office/officeart/2005/8/layout/bProcess3"/>
    <dgm:cxn modelId="{870E66C1-410F-4CF7-A1C3-4D6D872648C5}" type="presParOf" srcId="{BF663F3D-86AF-46D8-9F13-CACC66052415}" destId="{8D3497A9-D13A-4EE7-8673-8F532CC394D8}" srcOrd="4" destOrd="0" presId="urn:microsoft.com/office/officeart/2005/8/layout/bProcess3"/>
    <dgm:cxn modelId="{24181CCE-C22E-4725-8C4A-248EC88BECCD}" type="presParOf" srcId="{BF663F3D-86AF-46D8-9F13-CACC66052415}" destId="{194BF217-FF6A-43C9-837A-B27015E04271}" srcOrd="5" destOrd="0" presId="urn:microsoft.com/office/officeart/2005/8/layout/bProcess3"/>
    <dgm:cxn modelId="{998B8D65-B2D2-47B2-AC34-656C4756B21E}" type="presParOf" srcId="{194BF217-FF6A-43C9-837A-B27015E04271}" destId="{EE39813A-87C4-48D6-BB4E-C58D3488EB90}" srcOrd="0" destOrd="0" presId="urn:microsoft.com/office/officeart/2005/8/layout/bProcess3"/>
    <dgm:cxn modelId="{52C96C7D-65E1-42F1-9515-500A50E5B0DA}" type="presParOf" srcId="{BF663F3D-86AF-46D8-9F13-CACC66052415}" destId="{D4731EAB-626E-4466-B4B8-CCE97B01E290}" srcOrd="6" destOrd="0" presId="urn:microsoft.com/office/officeart/2005/8/layout/bProcess3"/>
    <dgm:cxn modelId="{3D000FE1-61E9-4CAA-8CB3-BF9B83EF34A0}" type="presParOf" srcId="{BF663F3D-86AF-46D8-9F13-CACC66052415}" destId="{7CD5D5DE-EC97-42A2-9BBD-ECAE893A48E3}" srcOrd="7" destOrd="0" presId="urn:microsoft.com/office/officeart/2005/8/layout/bProcess3"/>
    <dgm:cxn modelId="{9F565E72-3AB9-47AD-A6BB-025379CAFBF3}" type="presParOf" srcId="{7CD5D5DE-EC97-42A2-9BBD-ECAE893A48E3}" destId="{3C168FED-1A24-445E-8CAE-1DFD48D336FA}" srcOrd="0" destOrd="0" presId="urn:microsoft.com/office/officeart/2005/8/layout/bProcess3"/>
    <dgm:cxn modelId="{33EDEE30-35A5-49F6-B157-9514285A3E59}" type="presParOf" srcId="{BF663F3D-86AF-46D8-9F13-CACC66052415}" destId="{BD393E2C-4063-4D0A-9058-06646357F279}" srcOrd="8" destOrd="0" presId="urn:microsoft.com/office/officeart/2005/8/layout/bProcess3"/>
    <dgm:cxn modelId="{4EA52F59-0CBA-44C6-A7FD-38A8E7EB8931}" type="presParOf" srcId="{BF663F3D-86AF-46D8-9F13-CACC66052415}" destId="{2022A5EC-DAE7-4787-86F2-C4D91BA2B2E4}" srcOrd="9" destOrd="0" presId="urn:microsoft.com/office/officeart/2005/8/layout/bProcess3"/>
    <dgm:cxn modelId="{CCFDFD04-9D49-45B4-969C-85DFB9A03F8D}" type="presParOf" srcId="{2022A5EC-DAE7-4787-86F2-C4D91BA2B2E4}" destId="{FC4A8656-65EC-43AE-BCFC-04D3BF2E6E37}" srcOrd="0" destOrd="0" presId="urn:microsoft.com/office/officeart/2005/8/layout/bProcess3"/>
    <dgm:cxn modelId="{1C20D0B6-5AA6-4017-8B66-9CF5684FD752}" type="presParOf" srcId="{BF663F3D-86AF-46D8-9F13-CACC66052415}" destId="{E0BA3037-A004-49B5-8C3B-9F21D6829C48}" srcOrd="10" destOrd="0" presId="urn:microsoft.com/office/officeart/2005/8/layout/bProcess3"/>
    <dgm:cxn modelId="{55CEF44C-7CEC-47B1-A659-E2093D2733F9}" type="presParOf" srcId="{BF663F3D-86AF-46D8-9F13-CACC66052415}" destId="{C56818BB-83D6-4A59-AB78-52D7BF5B7542}" srcOrd="11" destOrd="0" presId="urn:microsoft.com/office/officeart/2005/8/layout/bProcess3"/>
    <dgm:cxn modelId="{02334957-108E-49F7-8B41-EE6BAD8BCBFB}" type="presParOf" srcId="{C56818BB-83D6-4A59-AB78-52D7BF5B7542}" destId="{38BDEB44-467B-42F5-8D8D-04D37B1CC2DC}" srcOrd="0" destOrd="0" presId="urn:microsoft.com/office/officeart/2005/8/layout/bProcess3"/>
    <dgm:cxn modelId="{FC0EEA51-5D1B-49AE-AAE1-EB208F7390FE}" type="presParOf" srcId="{BF663F3D-86AF-46D8-9F13-CACC66052415}" destId="{7665B1EA-6F7A-4C81-BD6B-CB5373641450}" srcOrd="12" destOrd="0" presId="urn:microsoft.com/office/officeart/2005/8/layout/bProcess3"/>
    <dgm:cxn modelId="{155437F4-5A2D-4857-911D-0B0604DBD572}" type="presParOf" srcId="{BF663F3D-86AF-46D8-9F13-CACC66052415}" destId="{13136952-D075-4D3B-A944-E7897D5705C5}" srcOrd="13" destOrd="0" presId="urn:microsoft.com/office/officeart/2005/8/layout/bProcess3"/>
    <dgm:cxn modelId="{36CE4565-29BA-4AE8-96FA-59FE7AF3DF9E}" type="presParOf" srcId="{13136952-D075-4D3B-A944-E7897D5705C5}" destId="{C1CB8423-2DE1-4154-B464-373D5D37EEE2}" srcOrd="0" destOrd="0" presId="urn:microsoft.com/office/officeart/2005/8/layout/bProcess3"/>
    <dgm:cxn modelId="{258D466B-5564-42AD-9744-A6B996204929}" type="presParOf" srcId="{BF663F3D-86AF-46D8-9F13-CACC66052415}" destId="{ABC9F4BF-2856-4462-BF1F-788BE068556B}" srcOrd="14" destOrd="0" presId="urn:microsoft.com/office/officeart/2005/8/layout/bProcess3"/>
    <dgm:cxn modelId="{56988C68-B2E8-4CFB-B592-195535515CEC}" type="presParOf" srcId="{BF663F3D-86AF-46D8-9F13-CACC66052415}" destId="{7F6A7D66-819C-4272-89D9-46DD14E843B1}" srcOrd="15" destOrd="0" presId="urn:microsoft.com/office/officeart/2005/8/layout/bProcess3"/>
    <dgm:cxn modelId="{A4EB50CA-CA8A-4FB0-98A0-537A366E0D17}" type="presParOf" srcId="{7F6A7D66-819C-4272-89D9-46DD14E843B1}" destId="{6B9D0C00-7022-4DED-8FBD-AA473A1D69C7}" srcOrd="0" destOrd="0" presId="urn:microsoft.com/office/officeart/2005/8/layout/bProcess3"/>
    <dgm:cxn modelId="{70B630BC-84D9-4027-97CE-00B7E1AFCC0C}" type="presParOf" srcId="{BF663F3D-86AF-46D8-9F13-CACC66052415}" destId="{DB0060EE-8BE3-4A96-9A6F-0C20502F8D48}" srcOrd="16" destOrd="0" presId="urn:microsoft.com/office/officeart/2005/8/layout/bProcess3"/>
    <dgm:cxn modelId="{162D068F-367B-4721-BD29-D73F9F534E1A}" type="presParOf" srcId="{BF663F3D-86AF-46D8-9F13-CACC66052415}" destId="{9075BD58-F2AC-4C16-A220-4C807C79D6DB}" srcOrd="17" destOrd="0" presId="urn:microsoft.com/office/officeart/2005/8/layout/bProcess3"/>
    <dgm:cxn modelId="{CF2BFF5E-6DC5-4B31-9FC0-72DC52B1C07F}" type="presParOf" srcId="{9075BD58-F2AC-4C16-A220-4C807C79D6DB}" destId="{F2D70B48-6091-4916-8008-996E09B4CB8E}" srcOrd="0" destOrd="0" presId="urn:microsoft.com/office/officeart/2005/8/layout/bProcess3"/>
    <dgm:cxn modelId="{381CF7BC-8179-43F3-9927-14F68862F451}" type="presParOf" srcId="{BF663F3D-86AF-46D8-9F13-CACC66052415}" destId="{37FEEE3D-9175-49B8-A95E-25BC592745FE}" srcOrd="18" destOrd="0" presId="urn:microsoft.com/office/officeart/2005/8/layout/bProcess3"/>
    <dgm:cxn modelId="{E536D415-79C4-4A09-A1C7-3ED91380ADA3}" type="presParOf" srcId="{BF663F3D-86AF-46D8-9F13-CACC66052415}" destId="{16637BC5-7FCA-47E5-B3D5-0D70E2D6DF9B}" srcOrd="19" destOrd="0" presId="urn:microsoft.com/office/officeart/2005/8/layout/bProcess3"/>
    <dgm:cxn modelId="{AD34EE65-DB76-4AB3-99DE-52351139B5C0}" type="presParOf" srcId="{16637BC5-7FCA-47E5-B3D5-0D70E2D6DF9B}" destId="{93CA6E3E-2D55-436B-886E-ECF2F69F792F}" srcOrd="0" destOrd="0" presId="urn:microsoft.com/office/officeart/2005/8/layout/bProcess3"/>
    <dgm:cxn modelId="{242D94A5-3BF2-482D-AEFA-7146DD997EA6}" type="presParOf" srcId="{BF663F3D-86AF-46D8-9F13-CACC66052415}" destId="{A9E494D1-0245-4B96-83CD-6AB7EFD50F9E}" srcOrd="20" destOrd="0" presId="urn:microsoft.com/office/officeart/2005/8/layout/bProcess3"/>
    <dgm:cxn modelId="{CE9515BE-2E58-4C39-8A88-B1E54AC4D5FA}" type="presParOf" srcId="{BF663F3D-86AF-46D8-9F13-CACC66052415}" destId="{5BAE9DDB-4274-4A5F-988D-5110778326A5}" srcOrd="21" destOrd="0" presId="urn:microsoft.com/office/officeart/2005/8/layout/bProcess3"/>
    <dgm:cxn modelId="{6B07D3FD-957D-4BE1-B69D-7405EE63C6FF}" type="presParOf" srcId="{5BAE9DDB-4274-4A5F-988D-5110778326A5}" destId="{17DE22D6-8A3A-4AF2-8BD4-E399888A1C95}" srcOrd="0" destOrd="0" presId="urn:microsoft.com/office/officeart/2005/8/layout/bProcess3"/>
    <dgm:cxn modelId="{705E0C09-AE7A-40EB-9D99-C480DF9C1D37}" type="presParOf" srcId="{BF663F3D-86AF-46D8-9F13-CACC66052415}" destId="{4317AD1F-CB34-4659-B382-0B9CA188FD9A}" srcOrd="22" destOrd="0" presId="urn:microsoft.com/office/officeart/2005/8/layout/bProcess3"/>
    <dgm:cxn modelId="{F65E9C29-124A-4A6D-8AF4-4C15F388536F}" type="presParOf" srcId="{BF663F3D-86AF-46D8-9F13-CACC66052415}" destId="{9D30515B-5796-4325-A227-999726F66100}" srcOrd="23" destOrd="0" presId="urn:microsoft.com/office/officeart/2005/8/layout/bProcess3"/>
    <dgm:cxn modelId="{08B5C93C-BAAA-4933-8D83-7E68B7F43CB3}" type="presParOf" srcId="{9D30515B-5796-4325-A227-999726F66100}" destId="{31A47B85-8957-4E99-BAC4-BDF132771D22}" srcOrd="0" destOrd="0" presId="urn:microsoft.com/office/officeart/2005/8/layout/bProcess3"/>
    <dgm:cxn modelId="{E7C37B8B-01EE-477A-9637-1B72AC8CEA02}" type="presParOf" srcId="{BF663F3D-86AF-46D8-9F13-CACC66052415}" destId="{7EC61A13-2FF2-468C-9E0B-D4A7AF43222F}" srcOrd="24" destOrd="0" presId="urn:microsoft.com/office/officeart/2005/8/layout/bProcess3"/>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300CD-00AD-4BE3-B1C5-A447446A31D4}">
      <dsp:nvSpPr>
        <dsp:cNvPr id="0" name=""/>
        <dsp:cNvSpPr/>
      </dsp:nvSpPr>
      <dsp:spPr>
        <a:xfrm>
          <a:off x="1348790" y="265410"/>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446607" y="309939"/>
        <a:ext cx="11907" cy="2381"/>
      </dsp:txXfrm>
    </dsp:sp>
    <dsp:sp modelId="{49F6E98B-AAB0-4761-ADE5-F2D5D0820341}">
      <dsp:nvSpPr>
        <dsp:cNvPr id="0" name=""/>
        <dsp:cNvSpPr/>
      </dsp:nvSpPr>
      <dsp:spPr>
        <a:xfrm>
          <a:off x="315193" y="511"/>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latin typeface="Calibri"/>
              <a:ea typeface="+mn-ea"/>
              <a:cs typeface="+mn-cs"/>
            </a:rPr>
            <a:t>Part 1: Fermentation</a:t>
          </a:r>
        </a:p>
      </dsp:txBody>
      <dsp:txXfrm>
        <a:off x="315193" y="511"/>
        <a:ext cx="1035397" cy="621238"/>
      </dsp:txXfrm>
    </dsp:sp>
    <dsp:sp modelId="{E80FA827-AC6E-46BF-8468-10C08F18EB2E}">
      <dsp:nvSpPr>
        <dsp:cNvPr id="0" name=""/>
        <dsp:cNvSpPr/>
      </dsp:nvSpPr>
      <dsp:spPr>
        <a:xfrm>
          <a:off x="2622329" y="265410"/>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20146" y="309939"/>
        <a:ext cx="11907" cy="2381"/>
      </dsp:txXfrm>
    </dsp:sp>
    <dsp:sp modelId="{238E348A-7373-486E-8D50-F150B66ED430}">
      <dsp:nvSpPr>
        <dsp:cNvPr id="0" name=""/>
        <dsp:cNvSpPr/>
      </dsp:nvSpPr>
      <dsp:spPr>
        <a:xfrm>
          <a:off x="1588732" y="511"/>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Inoculation</a:t>
          </a:r>
        </a:p>
      </dsp:txBody>
      <dsp:txXfrm>
        <a:off x="1588732" y="511"/>
        <a:ext cx="1035397" cy="621238"/>
      </dsp:txXfrm>
    </dsp:sp>
    <dsp:sp modelId="{194BF217-FF6A-43C9-837A-B27015E04271}">
      <dsp:nvSpPr>
        <dsp:cNvPr id="0" name=""/>
        <dsp:cNvSpPr/>
      </dsp:nvSpPr>
      <dsp:spPr>
        <a:xfrm>
          <a:off x="3895867" y="265410"/>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993685" y="309939"/>
        <a:ext cx="11907" cy="2381"/>
      </dsp:txXfrm>
    </dsp:sp>
    <dsp:sp modelId="{8D3497A9-D13A-4EE7-8673-8F532CC394D8}">
      <dsp:nvSpPr>
        <dsp:cNvPr id="0" name=""/>
        <dsp:cNvSpPr/>
      </dsp:nvSpPr>
      <dsp:spPr>
        <a:xfrm>
          <a:off x="2862270" y="511"/>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Seed fermentation</a:t>
          </a:r>
        </a:p>
      </dsp:txBody>
      <dsp:txXfrm>
        <a:off x="2862270" y="511"/>
        <a:ext cx="1035397" cy="621238"/>
      </dsp:txXfrm>
    </dsp:sp>
    <dsp:sp modelId="{7CD5D5DE-EC97-42A2-9BBD-ECAE893A48E3}">
      <dsp:nvSpPr>
        <dsp:cNvPr id="0" name=""/>
        <dsp:cNvSpPr/>
      </dsp:nvSpPr>
      <dsp:spPr>
        <a:xfrm>
          <a:off x="832892" y="61994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647499" y="722529"/>
        <a:ext cx="191401" cy="2381"/>
      </dsp:txXfrm>
    </dsp:sp>
    <dsp:sp modelId="{D4731EAB-626E-4466-B4B8-CCE97B01E290}">
      <dsp:nvSpPr>
        <dsp:cNvPr id="0" name=""/>
        <dsp:cNvSpPr/>
      </dsp:nvSpPr>
      <dsp:spPr>
        <a:xfrm>
          <a:off x="4135809" y="511"/>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Primary fermentation</a:t>
          </a:r>
        </a:p>
      </dsp:txBody>
      <dsp:txXfrm>
        <a:off x="4135809" y="511"/>
        <a:ext cx="1035397" cy="621238"/>
      </dsp:txXfrm>
    </dsp:sp>
    <dsp:sp modelId="{2022A5EC-DAE7-4787-86F2-C4D91BA2B2E4}">
      <dsp:nvSpPr>
        <dsp:cNvPr id="0" name=""/>
        <dsp:cNvSpPr/>
      </dsp:nvSpPr>
      <dsp:spPr>
        <a:xfrm>
          <a:off x="1348790" y="1124790"/>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446607" y="1169319"/>
        <a:ext cx="11907" cy="2381"/>
      </dsp:txXfrm>
    </dsp:sp>
    <dsp:sp modelId="{BD393E2C-4063-4D0A-9058-06646357F279}">
      <dsp:nvSpPr>
        <dsp:cNvPr id="0" name=""/>
        <dsp:cNvSpPr/>
      </dsp:nvSpPr>
      <dsp:spPr>
        <a:xfrm>
          <a:off x="315193" y="85989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latin typeface="Calibri"/>
              <a:ea typeface="+mn-ea"/>
              <a:cs typeface="+mn-cs"/>
            </a:rPr>
            <a:t>Part 2: Recovery</a:t>
          </a:r>
        </a:p>
      </dsp:txBody>
      <dsp:txXfrm>
        <a:off x="315193" y="859890"/>
        <a:ext cx="1035397" cy="621238"/>
      </dsp:txXfrm>
    </dsp:sp>
    <dsp:sp modelId="{C56818BB-83D6-4A59-AB78-52D7BF5B7542}">
      <dsp:nvSpPr>
        <dsp:cNvPr id="0" name=""/>
        <dsp:cNvSpPr/>
      </dsp:nvSpPr>
      <dsp:spPr>
        <a:xfrm>
          <a:off x="2622329" y="1124790"/>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20146" y="1169319"/>
        <a:ext cx="11907" cy="2381"/>
      </dsp:txXfrm>
    </dsp:sp>
    <dsp:sp modelId="{E0BA3037-A004-49B5-8C3B-9F21D6829C48}">
      <dsp:nvSpPr>
        <dsp:cNvPr id="0" name=""/>
        <dsp:cNvSpPr/>
      </dsp:nvSpPr>
      <dsp:spPr>
        <a:xfrm>
          <a:off x="1588732" y="85989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Pre-treatment</a:t>
          </a:r>
        </a:p>
      </dsp:txBody>
      <dsp:txXfrm>
        <a:off x="1588732" y="859890"/>
        <a:ext cx="1035397" cy="621238"/>
      </dsp:txXfrm>
    </dsp:sp>
    <dsp:sp modelId="{13136952-D075-4D3B-A944-E7897D5705C5}">
      <dsp:nvSpPr>
        <dsp:cNvPr id="0" name=""/>
        <dsp:cNvSpPr/>
      </dsp:nvSpPr>
      <dsp:spPr>
        <a:xfrm>
          <a:off x="3895867" y="1124790"/>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993685" y="1169319"/>
        <a:ext cx="11907" cy="2381"/>
      </dsp:txXfrm>
    </dsp:sp>
    <dsp:sp modelId="{7665B1EA-6F7A-4C81-BD6B-CB5373641450}">
      <dsp:nvSpPr>
        <dsp:cNvPr id="0" name=""/>
        <dsp:cNvSpPr/>
      </dsp:nvSpPr>
      <dsp:spPr>
        <a:xfrm>
          <a:off x="2862270" y="85989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Primary solid/liquid separation</a:t>
          </a:r>
        </a:p>
      </dsp:txBody>
      <dsp:txXfrm>
        <a:off x="2862270" y="859890"/>
        <a:ext cx="1035397" cy="621238"/>
      </dsp:txXfrm>
    </dsp:sp>
    <dsp:sp modelId="{7F6A7D66-819C-4272-89D9-46DD14E843B1}">
      <dsp:nvSpPr>
        <dsp:cNvPr id="0" name=""/>
        <dsp:cNvSpPr/>
      </dsp:nvSpPr>
      <dsp:spPr>
        <a:xfrm>
          <a:off x="832892" y="147932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647499" y="1581909"/>
        <a:ext cx="191401" cy="2381"/>
      </dsp:txXfrm>
    </dsp:sp>
    <dsp:sp modelId="{ABC9F4BF-2856-4462-BF1F-788BE068556B}">
      <dsp:nvSpPr>
        <dsp:cNvPr id="0" name=""/>
        <dsp:cNvSpPr/>
      </dsp:nvSpPr>
      <dsp:spPr>
        <a:xfrm>
          <a:off x="4135809" y="85989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Concentration</a:t>
          </a:r>
        </a:p>
      </dsp:txBody>
      <dsp:txXfrm>
        <a:off x="4135809" y="859890"/>
        <a:ext cx="1035397" cy="621238"/>
      </dsp:txXfrm>
    </dsp:sp>
    <dsp:sp modelId="{9075BD58-F2AC-4C16-A220-4C807C79D6DB}">
      <dsp:nvSpPr>
        <dsp:cNvPr id="0" name=""/>
        <dsp:cNvSpPr/>
      </dsp:nvSpPr>
      <dsp:spPr>
        <a:xfrm>
          <a:off x="1348790" y="1984169"/>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446607" y="2028699"/>
        <a:ext cx="11907" cy="2381"/>
      </dsp:txXfrm>
    </dsp:sp>
    <dsp:sp modelId="{DB0060EE-8BE3-4A96-9A6F-0C20502F8D48}">
      <dsp:nvSpPr>
        <dsp:cNvPr id="0" name=""/>
        <dsp:cNvSpPr/>
      </dsp:nvSpPr>
      <dsp:spPr>
        <a:xfrm>
          <a:off x="315193" y="171927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Polish filtration</a:t>
          </a:r>
        </a:p>
      </dsp:txBody>
      <dsp:txXfrm>
        <a:off x="315193" y="1719270"/>
        <a:ext cx="1035397" cy="621238"/>
      </dsp:txXfrm>
    </dsp:sp>
    <dsp:sp modelId="{16637BC5-7FCA-47E5-B3D5-0D70E2D6DF9B}">
      <dsp:nvSpPr>
        <dsp:cNvPr id="0" name=""/>
        <dsp:cNvSpPr/>
      </dsp:nvSpPr>
      <dsp:spPr>
        <a:xfrm>
          <a:off x="2622329" y="1984169"/>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0146" y="2028699"/>
        <a:ext cx="11907" cy="2381"/>
      </dsp:txXfrm>
    </dsp:sp>
    <dsp:sp modelId="{37FEEE3D-9175-49B8-A95E-25BC592745FE}">
      <dsp:nvSpPr>
        <dsp:cNvPr id="0" name=""/>
        <dsp:cNvSpPr/>
      </dsp:nvSpPr>
      <dsp:spPr>
        <a:xfrm>
          <a:off x="1588732" y="171927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Drying and agglomerating</a:t>
          </a:r>
        </a:p>
      </dsp:txBody>
      <dsp:txXfrm>
        <a:off x="1588732" y="1719270"/>
        <a:ext cx="1035397" cy="621238"/>
      </dsp:txXfrm>
    </dsp:sp>
    <dsp:sp modelId="{5BAE9DDB-4274-4A5F-988D-5110778326A5}">
      <dsp:nvSpPr>
        <dsp:cNvPr id="0" name=""/>
        <dsp:cNvSpPr/>
      </dsp:nvSpPr>
      <dsp:spPr>
        <a:xfrm>
          <a:off x="3895867" y="1984169"/>
          <a:ext cx="207541" cy="91440"/>
        </a:xfrm>
        <a:custGeom>
          <a:avLst/>
          <a:gdLst/>
          <a:ahLst/>
          <a:cxnLst/>
          <a:rect l="0" t="0" r="0" b="0"/>
          <a:pathLst>
            <a:path>
              <a:moveTo>
                <a:pt x="0" y="45720"/>
              </a:moveTo>
              <a:lnTo>
                <a:pt x="20754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993685" y="2028699"/>
        <a:ext cx="11907" cy="2381"/>
      </dsp:txXfrm>
    </dsp:sp>
    <dsp:sp modelId="{A9E494D1-0245-4B96-83CD-6AB7EFD50F9E}">
      <dsp:nvSpPr>
        <dsp:cNvPr id="0" name=""/>
        <dsp:cNvSpPr/>
      </dsp:nvSpPr>
      <dsp:spPr>
        <a:xfrm>
          <a:off x="2862270" y="171927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latin typeface="Calibri"/>
              <a:ea typeface="+mn-ea"/>
              <a:cs typeface="+mn-cs"/>
            </a:rPr>
            <a:t>Part 3 - Final product</a:t>
          </a:r>
        </a:p>
      </dsp:txBody>
      <dsp:txXfrm>
        <a:off x="2862270" y="1719270"/>
        <a:ext cx="1035397" cy="621238"/>
      </dsp:txXfrm>
    </dsp:sp>
    <dsp:sp modelId="{9D30515B-5796-4325-A227-999726F66100}">
      <dsp:nvSpPr>
        <dsp:cNvPr id="0" name=""/>
        <dsp:cNvSpPr/>
      </dsp:nvSpPr>
      <dsp:spPr>
        <a:xfrm>
          <a:off x="832892" y="2338709"/>
          <a:ext cx="3820615" cy="207541"/>
        </a:xfrm>
        <a:custGeom>
          <a:avLst/>
          <a:gdLst/>
          <a:ahLst/>
          <a:cxnLst/>
          <a:rect l="0" t="0" r="0" b="0"/>
          <a:pathLst>
            <a:path>
              <a:moveTo>
                <a:pt x="3820615" y="0"/>
              </a:moveTo>
              <a:lnTo>
                <a:pt x="3820615" y="120870"/>
              </a:lnTo>
              <a:lnTo>
                <a:pt x="0" y="120870"/>
              </a:lnTo>
              <a:lnTo>
                <a:pt x="0" y="20754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647499" y="2441289"/>
        <a:ext cx="191401" cy="2381"/>
      </dsp:txXfrm>
    </dsp:sp>
    <dsp:sp modelId="{4317AD1F-CB34-4659-B382-0B9CA188FD9A}">
      <dsp:nvSpPr>
        <dsp:cNvPr id="0" name=""/>
        <dsp:cNvSpPr/>
      </dsp:nvSpPr>
      <dsp:spPr>
        <a:xfrm>
          <a:off x="4135809" y="171927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Formulation of enzyme preparation</a:t>
          </a:r>
        </a:p>
      </dsp:txBody>
      <dsp:txXfrm>
        <a:off x="4135809" y="1719270"/>
        <a:ext cx="1035397" cy="621238"/>
      </dsp:txXfrm>
    </dsp:sp>
    <dsp:sp modelId="{7EC61A13-2FF2-468C-9E0B-D4A7AF43222F}">
      <dsp:nvSpPr>
        <dsp:cNvPr id="0" name=""/>
        <dsp:cNvSpPr/>
      </dsp:nvSpPr>
      <dsp:spPr>
        <a:xfrm>
          <a:off x="315193" y="2578650"/>
          <a:ext cx="1035397" cy="6212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Calibri"/>
              <a:ea typeface="+mn-ea"/>
              <a:cs typeface="+mn-cs"/>
            </a:rPr>
            <a:t>Packaging</a:t>
          </a:r>
        </a:p>
      </dsp:txBody>
      <dsp:txXfrm>
        <a:off x="315193" y="2578650"/>
        <a:ext cx="1035397" cy="62123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b:Sources xmlns:b="http://schemas.openxmlformats.org/officeDocument/2006/bibliography" xmlns="http://schemas.openxmlformats.org/officeDocument/2006/bibliography" SelectedStyle="\APA.XSL" StyleName="APA">
  <b:Source>
    <b:Tag>Dam08</b:Tag>
    <b:SourceType>Book</b:SourceType>
    <b:Guid>{ADC4A0F4-DFE2-44D6-BA7C-A933A1D1B522}</b:Guid>
    <b:Title>Fennema's Food Chemistry</b:Title>
    <b:Year>2008</b:Year>
    <b:Publisher>Boca Raton: CRC Press/Taylor &amp; Francis</b:Publisher>
    <b:Author>
      <b:Author>
        <b:NameList>
          <b:Person>
            <b:Last>Damodaran</b:Last>
            <b:First>S.,</b:First>
            <b:Middle>Parkin, K. L., &amp; Fennema, O. R. (). .</b:Middle>
          </b:Person>
        </b:NameList>
      </b:Author>
    </b:Autho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Props1.xml><?xml version="1.0" encoding="utf-8"?>
<ds:datastoreItem xmlns:ds="http://schemas.openxmlformats.org/officeDocument/2006/customXml" ds:itemID="{C0EB5FE3-A002-4FFF-B2EE-ED9222F4A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5765E-4344-4274-9DBE-D918531C77DC}">
  <ds:schemaRefs>
    <ds:schemaRef ds:uri="Microsoft.SharePoint.Taxonomy.ContentTypeSync"/>
  </ds:schemaRefs>
</ds:datastoreItem>
</file>

<file path=customXml/itemProps3.xml><?xml version="1.0" encoding="utf-8"?>
<ds:datastoreItem xmlns:ds="http://schemas.openxmlformats.org/officeDocument/2006/customXml" ds:itemID="{D90BFB91-BFA4-4D6E-964D-B2B42C0FB480}"/>
</file>

<file path=customXml/itemProps4.xml><?xml version="1.0" encoding="utf-8"?>
<ds:datastoreItem xmlns:ds="http://schemas.openxmlformats.org/officeDocument/2006/customXml" ds:itemID="{45715F31-4399-46F0-B7B8-F19D182CAF99}"/>
</file>

<file path=customXml/itemProps5.xml><?xml version="1.0" encoding="utf-8"?>
<ds:datastoreItem xmlns:ds="http://schemas.openxmlformats.org/officeDocument/2006/customXml" ds:itemID="{22007E98-E3D6-4449-8F5D-92A4FA080364}"/>
</file>

<file path=customXml/itemProps6.xml><?xml version="1.0" encoding="utf-8"?>
<ds:datastoreItem xmlns:ds="http://schemas.openxmlformats.org/officeDocument/2006/customXml" ds:itemID="{C882F2B3-974F-4315-9ED9-0369F9C6D66C}"/>
</file>

<file path=customXml/itemProps7.xml><?xml version="1.0" encoding="utf-8"?>
<ds:datastoreItem xmlns:ds="http://schemas.openxmlformats.org/officeDocument/2006/customXml" ds:itemID="{E774D5F7-9BD4-4819-963C-90AFAA7FA2DD}"/>
</file>

<file path=docProps/app.xml><?xml version="1.0" encoding="utf-8"?>
<Properties xmlns="http://schemas.openxmlformats.org/officeDocument/2006/extended-properties" xmlns:vt="http://schemas.openxmlformats.org/officeDocument/2006/docPropsVTypes">
  <Template>Normal</Template>
  <TotalTime>7</TotalTime>
  <Pages>17</Pages>
  <Words>4977</Words>
  <Characters>28371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33282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CoughC</cp:lastModifiedBy>
  <cp:revision>6</cp:revision>
  <cp:lastPrinted>2019-01-14T21:09:00Z</cp:lastPrinted>
  <dcterms:created xsi:type="dcterms:W3CDTF">2019-04-23T05:17:00Z</dcterms:created>
  <dcterms:modified xsi:type="dcterms:W3CDTF">2019-06-25T04:06:00Z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mhrlfEW7b9k68ds2IFR69UD4CsNiGzlo</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609;#FOOD STANDARDS:Notifications|cb7eeb77-0baa-4e31-9d98-aad1478135c4</vt:lpwstr>
  </property>
  <property fmtid="{D5CDD505-2E9C-101B-9397-08002B2CF9AE}" pid="6" name="_dlc_DocIdItemGuid">
    <vt:lpwstr>49f806a9-4079-4e48-9a0f-29076345a52e</vt:lpwstr>
  </property>
  <property fmtid="{D5CDD505-2E9C-101B-9397-08002B2CF9AE}" pid="7" name="a41428b017d04df981d58ffdf035d7b8">
    <vt:lpwstr/>
  </property>
  <property fmtid="{D5CDD505-2E9C-101B-9397-08002B2CF9AE}" pid="8" name="docIndexRef">
    <vt:lpwstr>ea7ca57b-b2c2-4875-ab58-c008bde4a938</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RecordPoint_WorkflowType">
    <vt:lpwstr>ActiveSubmitStub</vt:lpwstr>
  </property>
  <property fmtid="{D5CDD505-2E9C-101B-9397-08002B2CF9AE}" pid="19" name="RecordPoint_ActiveItemWebId">
    <vt:lpwstr>{0a24ff59-26de-499e-af6c-870128dbbd86}</vt:lpwstr>
  </property>
  <property fmtid="{D5CDD505-2E9C-101B-9397-08002B2CF9AE}" pid="20" name="RecordPoint_ActiveItemSiteId">
    <vt:lpwstr>{cec154f9-42c6-4481-9906-45443d426660}</vt:lpwstr>
  </property>
  <property fmtid="{D5CDD505-2E9C-101B-9397-08002B2CF9AE}" pid="21" name="RecordPoint_ActiveItemListId">
    <vt:lpwstr>{3a9826a6-ef3d-4704-849b-07726235ecc0}</vt:lpwstr>
  </property>
  <property fmtid="{D5CDD505-2E9C-101B-9397-08002B2CF9AE}" pid="22" name="RecordPoint_ActiveItemUniqueId">
    <vt:lpwstr>{deb1fbde-350a-4e54-91bf-3b5579788f5f}</vt:lpwstr>
  </property>
  <property fmtid="{D5CDD505-2E9C-101B-9397-08002B2CF9AE}" pid="23" name="RecordPoint_RecordNumberSubmitted">
    <vt:lpwstr>R0000113893</vt:lpwstr>
  </property>
  <property fmtid="{D5CDD505-2E9C-101B-9397-08002B2CF9AE}" pid="24" name="RecordPoint_SubmissionCompleted">
    <vt:lpwstr>2019-05-29T08:41:04.3029693+10:00</vt:lpwstr>
  </property>
</Properties>
</file>